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1696" w14:textId="77777777" w:rsidR="00E51D9F" w:rsidRPr="00EE129B" w:rsidRDefault="00E51D9F">
      <w:pPr>
        <w:spacing w:after="0" w:line="259" w:lineRule="auto"/>
        <w:ind w:left="115" w:right="0" w:firstLine="0"/>
        <w:jc w:val="left"/>
        <w:rPr>
          <w:b/>
          <w:color w:val="auto"/>
          <w:sz w:val="44"/>
        </w:rPr>
      </w:pPr>
    </w:p>
    <w:p w14:paraId="38AA6FA1" w14:textId="76992DC7" w:rsidR="00E56CB3" w:rsidRPr="00EE129B" w:rsidRDefault="00143F9B" w:rsidP="00D70C8B">
      <w:pPr>
        <w:spacing w:after="0" w:line="259" w:lineRule="auto"/>
        <w:ind w:right="0"/>
        <w:jc w:val="left"/>
        <w:rPr>
          <w:color w:val="auto"/>
        </w:rPr>
      </w:pPr>
      <w:r w:rsidRPr="00EE129B">
        <w:rPr>
          <w:b/>
          <w:color w:val="auto"/>
          <w:sz w:val="44"/>
        </w:rPr>
        <w:t xml:space="preserve">Hållbarhetsrelaterade upplysningar </w:t>
      </w:r>
    </w:p>
    <w:p w14:paraId="7D8945C2" w14:textId="47D9E577" w:rsidR="00E56CB3" w:rsidRPr="00EE129B" w:rsidRDefault="00143F9B">
      <w:pPr>
        <w:spacing w:after="192" w:line="259" w:lineRule="auto"/>
        <w:ind w:left="115" w:right="0" w:firstLine="0"/>
        <w:jc w:val="left"/>
        <w:rPr>
          <w:color w:val="auto"/>
        </w:rPr>
      </w:pPr>
      <w:r w:rsidRPr="00F50DA5">
        <w:rPr>
          <w:i/>
          <w:color w:val="auto"/>
          <w:sz w:val="20"/>
          <w:highlight w:val="yellow"/>
        </w:rPr>
        <w:t xml:space="preserve">Senast uppdaterad: </w:t>
      </w:r>
      <w:r w:rsidR="00EE129B" w:rsidRPr="00F50DA5">
        <w:rPr>
          <w:i/>
          <w:color w:val="auto"/>
          <w:sz w:val="20"/>
          <w:highlight w:val="yellow"/>
        </w:rPr>
        <w:t>2025-03-07</w:t>
      </w:r>
    </w:p>
    <w:p w14:paraId="41083FC4" w14:textId="41180AA8" w:rsidR="00E51D9F" w:rsidRPr="00EE129B" w:rsidRDefault="00E51D9F" w:rsidP="00E51D9F">
      <w:pPr>
        <w:pStyle w:val="Brdtext"/>
        <w:spacing w:before="129"/>
        <w:ind w:right="156"/>
        <w:rPr>
          <w:rFonts w:ascii="Times New Roman" w:hAnsi="Times New Roman" w:cs="Times New Roman"/>
          <w:sz w:val="22"/>
          <w:szCs w:val="22"/>
        </w:rPr>
      </w:pPr>
      <w:r w:rsidRPr="00EE129B">
        <w:rPr>
          <w:rFonts w:ascii="Times New Roman" w:hAnsi="Times New Roman" w:cs="Times New Roman"/>
          <w:sz w:val="22"/>
          <w:szCs w:val="22"/>
        </w:rPr>
        <w:t>Enligt de tekniska anvisningarna för disclosureförordningen</w:t>
      </w:r>
      <w:r w:rsidR="00EE129B">
        <w:rPr>
          <w:rStyle w:val="Fotnotsreferens"/>
          <w:rFonts w:ascii="Times New Roman" w:hAnsi="Times New Roman" w:cs="Times New Roman"/>
          <w:sz w:val="22"/>
          <w:szCs w:val="22"/>
        </w:rPr>
        <w:footnoteReference w:id="1"/>
      </w:r>
      <w:r w:rsidR="00EE129B">
        <w:rPr>
          <w:rFonts w:ascii="Times New Roman" w:hAnsi="Times New Roman" w:cs="Times New Roman"/>
          <w:position w:val="8"/>
          <w:sz w:val="14"/>
          <w:szCs w:val="22"/>
        </w:rPr>
        <w:t xml:space="preserve"> </w:t>
      </w:r>
      <w:r w:rsidRPr="00EE129B">
        <w:rPr>
          <w:rFonts w:ascii="Times New Roman" w:hAnsi="Times New Roman" w:cs="Times New Roman"/>
          <w:sz w:val="22"/>
          <w:szCs w:val="22"/>
        </w:rPr>
        <w:t>så ska Finansmarknadsaktörer för varje finansiell produkt offentliggöra på webbplatsen hållbarhetsrelaterad information i ett separat avsnitt med titeln ”</w:t>
      </w:r>
      <w:r w:rsidRPr="00EE129B">
        <w:rPr>
          <w:rFonts w:ascii="Times New Roman" w:hAnsi="Times New Roman" w:cs="Times New Roman"/>
          <w:b/>
          <w:i/>
          <w:sz w:val="22"/>
          <w:szCs w:val="22"/>
        </w:rPr>
        <w:t>Hållbarhetsrelaterade</w:t>
      </w:r>
      <w:r w:rsidRPr="00EE129B">
        <w:rPr>
          <w:rFonts w:ascii="Times New Roman" w:hAnsi="Times New Roman" w:cs="Times New Roman"/>
          <w:b/>
          <w:i/>
          <w:spacing w:val="-5"/>
          <w:sz w:val="22"/>
          <w:szCs w:val="22"/>
        </w:rPr>
        <w:t xml:space="preserve"> </w:t>
      </w:r>
      <w:r w:rsidRPr="00EE129B">
        <w:rPr>
          <w:rFonts w:ascii="Times New Roman" w:hAnsi="Times New Roman" w:cs="Times New Roman"/>
          <w:b/>
          <w:i/>
          <w:sz w:val="22"/>
          <w:szCs w:val="22"/>
        </w:rPr>
        <w:t>upplysningar</w:t>
      </w:r>
      <w:r w:rsidRPr="00EE129B">
        <w:rPr>
          <w:rFonts w:ascii="Times New Roman" w:hAnsi="Times New Roman" w:cs="Times New Roman"/>
          <w:i/>
          <w:sz w:val="22"/>
          <w:szCs w:val="22"/>
        </w:rPr>
        <w:t xml:space="preserve">” </w:t>
      </w:r>
      <w:r w:rsidRPr="00EE129B">
        <w:rPr>
          <w:rFonts w:ascii="Times New Roman" w:hAnsi="Times New Roman" w:cs="Times New Roman"/>
          <w:sz w:val="22"/>
          <w:szCs w:val="22"/>
        </w:rPr>
        <w:t>i</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samma</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del</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deras</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webbplatser som övrig information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om</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den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finansiella</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produkten.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Samma</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information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skall</w:t>
      </w:r>
      <w:r w:rsidRPr="00EE129B">
        <w:rPr>
          <w:rFonts w:ascii="Times New Roman" w:hAnsi="Times New Roman" w:cs="Times New Roman"/>
          <w:spacing w:val="-5"/>
          <w:sz w:val="22"/>
          <w:szCs w:val="22"/>
        </w:rPr>
        <w:t xml:space="preserve"> </w:t>
      </w:r>
      <w:r w:rsidRPr="00EE129B">
        <w:rPr>
          <w:rFonts w:ascii="Times New Roman" w:hAnsi="Times New Roman" w:cs="Times New Roman"/>
          <w:sz w:val="22"/>
          <w:szCs w:val="22"/>
        </w:rPr>
        <w:t>även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innehålla</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ett bestämt antal i förordningens tekniska anvisningar angivna underrubriker vilket redovisas i det följande.</w:t>
      </w:r>
    </w:p>
    <w:p w14:paraId="74830AA8" w14:textId="77777777" w:rsidR="00E51D9F" w:rsidRPr="00EE129B" w:rsidRDefault="00E51D9F" w:rsidP="00E51D9F">
      <w:pPr>
        <w:pStyle w:val="Brdtext"/>
        <w:spacing w:before="129"/>
        <w:ind w:right="156"/>
        <w:rPr>
          <w:rFonts w:ascii="Times New Roman" w:hAnsi="Times New Roman" w:cs="Times New Roman"/>
          <w:sz w:val="22"/>
          <w:szCs w:val="22"/>
        </w:rPr>
      </w:pPr>
    </w:p>
    <w:p w14:paraId="623CC1AB" w14:textId="77777777" w:rsidR="00E51D9F" w:rsidRPr="00EE129B" w:rsidRDefault="00E51D9F" w:rsidP="00E51D9F">
      <w:pPr>
        <w:pStyle w:val="Brdtext"/>
        <w:spacing w:before="3"/>
        <w:ind w:right="156"/>
        <w:rPr>
          <w:rFonts w:ascii="Times New Roman" w:hAnsi="Times New Roman" w:cs="Times New Roman"/>
          <w:sz w:val="22"/>
          <w:szCs w:val="22"/>
        </w:rPr>
      </w:pPr>
      <w:r w:rsidRPr="00EE129B">
        <w:rPr>
          <w:rFonts w:ascii="Times New Roman" w:hAnsi="Times New Roman" w:cs="Times New Roman"/>
          <w:sz w:val="22"/>
          <w:szCs w:val="22"/>
        </w:rPr>
        <w:t>Syftet</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med</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disclosureförordningen</w:t>
      </w:r>
      <w:r w:rsidRPr="00EE129B">
        <w:rPr>
          <w:rFonts w:ascii="Times New Roman" w:hAnsi="Times New Roman" w:cs="Times New Roman"/>
          <w:spacing w:val="-8"/>
          <w:sz w:val="22"/>
          <w:szCs w:val="22"/>
        </w:rPr>
        <w:t xml:space="preserve"> </w:t>
      </w:r>
      <w:r w:rsidRPr="00EE129B">
        <w:rPr>
          <w:rFonts w:ascii="Times New Roman" w:hAnsi="Times New Roman" w:cs="Times New Roman"/>
          <w:sz w:val="22"/>
          <w:szCs w:val="22"/>
        </w:rPr>
        <w:t>är</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att</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informera</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sparare</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och</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investerare</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om fonders</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arbete avseende hållbarhet, i avsikt minska risken för att</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aktörer utger finansiella produkter för att vara mer miljövänliga än de egentligen är (s.k. ”greenwashing”), samt för att långsiktigt främja en hållbar utveckling.</w:t>
      </w:r>
    </w:p>
    <w:p w14:paraId="4FDEBA07" w14:textId="77777777" w:rsidR="00E51D9F" w:rsidRPr="00EE129B" w:rsidRDefault="00E51D9F" w:rsidP="00E51D9F">
      <w:pPr>
        <w:pStyle w:val="Brdtext"/>
        <w:spacing w:before="274"/>
        <w:ind w:right="156"/>
        <w:rPr>
          <w:rFonts w:ascii="Times New Roman" w:hAnsi="Times New Roman" w:cs="Times New Roman"/>
          <w:sz w:val="22"/>
          <w:szCs w:val="22"/>
        </w:rPr>
      </w:pPr>
      <w:r w:rsidRPr="00EE129B">
        <w:rPr>
          <w:rFonts w:ascii="Times New Roman" w:hAnsi="Times New Roman" w:cs="Times New Roman"/>
          <w:sz w:val="22"/>
          <w:szCs w:val="22"/>
        </w:rPr>
        <w:t>ISEC Services (’ISEC’) arbetar för att hållbarhet ska beaktas inom ramen för alla fondprodukter i bolaget. Hur vi arbetar med hållbarhetsfrågor inom företaget och vilka krav vi framställer</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till</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våra</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kapitalförvaltare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och andra</w:t>
      </w:r>
      <w:r w:rsidRPr="00EE129B">
        <w:rPr>
          <w:rFonts w:ascii="Times New Roman" w:hAnsi="Times New Roman" w:cs="Times New Roman"/>
          <w:spacing w:val="-10"/>
          <w:sz w:val="22"/>
          <w:szCs w:val="22"/>
        </w:rPr>
        <w:t xml:space="preserve"> </w:t>
      </w:r>
      <w:r w:rsidRPr="00EE129B">
        <w:rPr>
          <w:rFonts w:ascii="Times New Roman" w:hAnsi="Times New Roman" w:cs="Times New Roman"/>
          <w:sz w:val="22"/>
          <w:szCs w:val="22"/>
        </w:rPr>
        <w:t>samarbetspartners</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framgår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8"/>
          <w:sz w:val="22"/>
          <w:szCs w:val="22"/>
        </w:rPr>
        <w:t xml:space="preserve"> </w:t>
      </w:r>
      <w:r w:rsidRPr="00EE129B">
        <w:rPr>
          <w:rFonts w:ascii="Times New Roman" w:hAnsi="Times New Roman" w:cs="Times New Roman"/>
          <w:sz w:val="22"/>
          <w:szCs w:val="22"/>
        </w:rPr>
        <w:t xml:space="preserve">vår </w:t>
      </w:r>
      <w:hyperlink r:id="rId7">
        <w:r w:rsidRPr="00EE129B">
          <w:rPr>
            <w:rFonts w:ascii="Times New Roman" w:hAnsi="Times New Roman" w:cs="Times New Roman"/>
            <w:spacing w:val="-2"/>
            <w:sz w:val="22"/>
            <w:szCs w:val="22"/>
            <w:u w:val="single" w:color="0462C1"/>
          </w:rPr>
          <w:t>hållbarhets</w:t>
        </w:r>
        <w:r w:rsidRPr="00EE129B">
          <w:rPr>
            <w:rFonts w:ascii="Times New Roman" w:hAnsi="Times New Roman" w:cs="Times New Roman"/>
            <w:spacing w:val="-2"/>
            <w:sz w:val="22"/>
            <w:szCs w:val="22"/>
            <w:u w:val="single" w:color="0462C1"/>
          </w:rPr>
          <w:t>p</w:t>
        </w:r>
        <w:r w:rsidRPr="00EE129B">
          <w:rPr>
            <w:rFonts w:ascii="Times New Roman" w:hAnsi="Times New Roman" w:cs="Times New Roman"/>
            <w:spacing w:val="-2"/>
            <w:sz w:val="22"/>
            <w:szCs w:val="22"/>
            <w:u w:val="single" w:color="0462C1"/>
          </w:rPr>
          <w:t>olicy.</w:t>
        </w:r>
      </w:hyperlink>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Mer information finns även i</w:t>
      </w:r>
      <w:r w:rsidRPr="00EE129B">
        <w:rPr>
          <w:rFonts w:ascii="Times New Roman" w:hAnsi="Times New Roman" w:cs="Times New Roman"/>
          <w:spacing w:val="-2"/>
          <w:sz w:val="22"/>
          <w:szCs w:val="22"/>
        </w:rPr>
        <w:t xml:space="preserve"> </w:t>
      </w:r>
      <w:commentRangeStart w:id="0"/>
      <w:r>
        <w:fldChar w:fldCharType="begin"/>
      </w:r>
      <w:r>
        <w:instrText>HYPERLINK "https://www.isec.com/wp-content/uploads/2021/03/IB_Spets_250211.pdf"</w:instrText>
      </w:r>
      <w:r>
        <w:fldChar w:fldCharType="separate"/>
      </w:r>
      <w:r w:rsidRPr="00EE129B">
        <w:rPr>
          <w:rFonts w:ascii="Times New Roman" w:hAnsi="Times New Roman" w:cs="Times New Roman"/>
          <w:sz w:val="22"/>
          <w:szCs w:val="22"/>
          <w:u w:val="single"/>
        </w:rPr>
        <w:t>informationsbroschyren</w:t>
      </w:r>
      <w:r>
        <w:fldChar w:fldCharType="end"/>
      </w:r>
      <w:commentRangeEnd w:id="0"/>
      <w:r w:rsidR="00E72E2D" w:rsidRPr="00EE129B">
        <w:rPr>
          <w:rStyle w:val="Kommentarsreferens"/>
          <w:rFonts w:ascii="Times New Roman" w:hAnsi="Times New Roman" w:cs="Times New Roman"/>
          <w:sz w:val="22"/>
          <w:szCs w:val="22"/>
        </w:rPr>
        <w:commentReference w:id="0"/>
      </w:r>
      <w:r w:rsidRPr="00EE129B">
        <w:rPr>
          <w:rFonts w:ascii="Times New Roman" w:hAnsi="Times New Roman" w:cs="Times New Roman"/>
          <w:sz w:val="22"/>
          <w:szCs w:val="22"/>
        </w:rPr>
        <w:t xml:space="preserve"> för den rörda finansiella produkten. </w:t>
      </w:r>
    </w:p>
    <w:p w14:paraId="2E937084" w14:textId="77777777" w:rsidR="00E51D9F" w:rsidRPr="00EE129B" w:rsidRDefault="00E51D9F" w:rsidP="00E51D9F">
      <w:pPr>
        <w:pStyle w:val="Brdtext"/>
        <w:spacing w:before="9"/>
        <w:ind w:left="0"/>
        <w:rPr>
          <w:rFonts w:ascii="Times New Roman" w:hAnsi="Times New Roman" w:cs="Times New Roman"/>
          <w:sz w:val="28"/>
          <w:szCs w:val="22"/>
        </w:rPr>
      </w:pPr>
    </w:p>
    <w:p w14:paraId="695046DA" w14:textId="77777777" w:rsidR="00E51D9F" w:rsidRPr="00EE129B" w:rsidRDefault="00E51D9F" w:rsidP="00E51D9F">
      <w:pPr>
        <w:pStyle w:val="Rubrik1"/>
        <w:rPr>
          <w:color w:val="auto"/>
          <w:sz w:val="28"/>
          <w:szCs w:val="28"/>
        </w:rPr>
      </w:pPr>
      <w:r w:rsidRPr="00EE129B">
        <w:rPr>
          <w:color w:val="auto"/>
          <w:spacing w:val="-2"/>
          <w:sz w:val="28"/>
          <w:szCs w:val="28"/>
        </w:rPr>
        <w:t>Sammanfattning</w:t>
      </w:r>
    </w:p>
    <w:p w14:paraId="47BAFD4D" w14:textId="75E8B36A" w:rsidR="00E51D9F" w:rsidRPr="00EE129B" w:rsidRDefault="00351EE3" w:rsidP="00E51D9F">
      <w:pPr>
        <w:pStyle w:val="Brdtext"/>
        <w:spacing w:before="1" w:line="242" w:lineRule="auto"/>
        <w:ind w:right="820"/>
        <w:jc w:val="both"/>
        <w:rPr>
          <w:rFonts w:ascii="Times New Roman" w:hAnsi="Times New Roman" w:cs="Times New Roman"/>
          <w:sz w:val="22"/>
          <w:szCs w:val="22"/>
        </w:rPr>
      </w:pPr>
      <w:r>
        <w:rPr>
          <w:rFonts w:ascii="Times New Roman" w:hAnsi="Times New Roman" w:cs="Times New Roman"/>
          <w:sz w:val="22"/>
          <w:szCs w:val="22"/>
        </w:rPr>
        <w:t>Spets</w:t>
      </w:r>
      <w:r w:rsidR="00E51D9F" w:rsidRPr="00EE129B">
        <w:rPr>
          <w:rFonts w:ascii="Times New Roman" w:hAnsi="Times New Roman" w:cs="Times New Roman"/>
          <w:sz w:val="22"/>
          <w:szCs w:val="22"/>
        </w:rPr>
        <w:t xml:space="preserve"> har</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inte</w:t>
      </w:r>
      <w:r w:rsidR="00E51D9F" w:rsidRPr="00EE129B">
        <w:rPr>
          <w:rFonts w:ascii="Times New Roman" w:hAnsi="Times New Roman" w:cs="Times New Roman"/>
          <w:spacing w:val="-7"/>
          <w:sz w:val="22"/>
          <w:szCs w:val="22"/>
        </w:rPr>
        <w:t xml:space="preserve"> </w:t>
      </w:r>
      <w:r w:rsidR="00E51D9F" w:rsidRPr="00EE129B">
        <w:rPr>
          <w:rFonts w:ascii="Times New Roman" w:hAnsi="Times New Roman" w:cs="Times New Roman"/>
          <w:sz w:val="22"/>
          <w:szCs w:val="22"/>
        </w:rPr>
        <w:t>hållbar</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investering</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som</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mål eller någon minsta andel uttryckt,</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men</w:t>
      </w:r>
      <w:r w:rsidR="00E51D9F" w:rsidRPr="00EE129B">
        <w:rPr>
          <w:rFonts w:ascii="Times New Roman" w:hAnsi="Times New Roman" w:cs="Times New Roman"/>
          <w:spacing w:val="-7"/>
          <w:sz w:val="22"/>
          <w:szCs w:val="22"/>
        </w:rPr>
        <w:t xml:space="preserve"> </w:t>
      </w:r>
      <w:r w:rsidR="00E51D9F" w:rsidRPr="00EE129B">
        <w:rPr>
          <w:rFonts w:ascii="Times New Roman" w:hAnsi="Times New Roman" w:cs="Times New Roman"/>
          <w:sz w:val="22"/>
          <w:szCs w:val="22"/>
        </w:rPr>
        <w:t>kommer</w:t>
      </w:r>
      <w:r w:rsidR="00E51D9F" w:rsidRPr="00EE129B">
        <w:rPr>
          <w:rFonts w:ascii="Times New Roman" w:hAnsi="Times New Roman" w:cs="Times New Roman"/>
          <w:spacing w:val="-3"/>
          <w:sz w:val="22"/>
          <w:szCs w:val="22"/>
        </w:rPr>
        <w:t xml:space="preserve"> </w:t>
      </w:r>
      <w:r w:rsidR="00E51D9F" w:rsidRPr="00EE129B">
        <w:rPr>
          <w:rFonts w:ascii="Times New Roman" w:hAnsi="Times New Roman" w:cs="Times New Roman"/>
          <w:sz w:val="22"/>
          <w:szCs w:val="22"/>
        </w:rPr>
        <w:t>att främja miljörelaterade och sociala egenskaper, artikel 8 enligt disclosureförordningen.</w:t>
      </w:r>
    </w:p>
    <w:p w14:paraId="6B944039" w14:textId="77777777" w:rsidR="00E51D9F" w:rsidRPr="00EE129B" w:rsidRDefault="00E51D9F" w:rsidP="00E51D9F">
      <w:pPr>
        <w:pStyle w:val="Rubrik2"/>
        <w:spacing w:before="273"/>
        <w:jc w:val="both"/>
        <w:rPr>
          <w:color w:val="auto"/>
        </w:rPr>
      </w:pPr>
      <w:r w:rsidRPr="00EE129B">
        <w:rPr>
          <w:color w:val="auto"/>
        </w:rPr>
        <w:t>Den</w:t>
      </w:r>
      <w:r w:rsidRPr="00EE129B">
        <w:rPr>
          <w:color w:val="auto"/>
          <w:spacing w:val="-9"/>
        </w:rPr>
        <w:t xml:space="preserve"> </w:t>
      </w:r>
      <w:r w:rsidRPr="00EE129B">
        <w:rPr>
          <w:color w:val="auto"/>
        </w:rPr>
        <w:t>finansiella</w:t>
      </w:r>
      <w:r w:rsidRPr="00EE129B">
        <w:rPr>
          <w:color w:val="auto"/>
          <w:spacing w:val="-13"/>
        </w:rPr>
        <w:t xml:space="preserve"> </w:t>
      </w:r>
      <w:r w:rsidRPr="00EE129B">
        <w:rPr>
          <w:color w:val="auto"/>
        </w:rPr>
        <w:t>produktens</w:t>
      </w:r>
      <w:r w:rsidRPr="00EE129B">
        <w:rPr>
          <w:color w:val="auto"/>
          <w:spacing w:val="-9"/>
        </w:rPr>
        <w:t xml:space="preserve"> </w:t>
      </w:r>
      <w:r w:rsidRPr="00EE129B">
        <w:rPr>
          <w:color w:val="auto"/>
        </w:rPr>
        <w:t>miljörelaterade</w:t>
      </w:r>
      <w:r w:rsidRPr="00EE129B">
        <w:rPr>
          <w:color w:val="auto"/>
          <w:spacing w:val="-13"/>
        </w:rPr>
        <w:t xml:space="preserve"> </w:t>
      </w:r>
      <w:r w:rsidRPr="00EE129B">
        <w:rPr>
          <w:color w:val="auto"/>
        </w:rPr>
        <w:t>eller</w:t>
      </w:r>
      <w:r w:rsidRPr="00EE129B">
        <w:rPr>
          <w:color w:val="auto"/>
          <w:spacing w:val="-12"/>
        </w:rPr>
        <w:t xml:space="preserve"> </w:t>
      </w:r>
      <w:r w:rsidRPr="00EE129B">
        <w:rPr>
          <w:color w:val="auto"/>
        </w:rPr>
        <w:t>sociala</w:t>
      </w:r>
      <w:r w:rsidRPr="00EE129B">
        <w:rPr>
          <w:color w:val="auto"/>
          <w:spacing w:val="-9"/>
        </w:rPr>
        <w:t xml:space="preserve"> </w:t>
      </w:r>
      <w:r w:rsidRPr="00EE129B">
        <w:rPr>
          <w:color w:val="auto"/>
          <w:spacing w:val="-2"/>
        </w:rPr>
        <w:t>egenskaper</w:t>
      </w:r>
    </w:p>
    <w:p w14:paraId="4AF4EEB4" w14:textId="10ED8798" w:rsidR="00E51D9F" w:rsidRPr="00EE129B" w:rsidRDefault="00E72E2D" w:rsidP="00F03C40">
      <w:pPr>
        <w:spacing w:before="2" w:line="259" w:lineRule="auto"/>
        <w:ind w:left="476" w:right="115"/>
        <w:rPr>
          <w:color w:val="auto"/>
        </w:rPr>
      </w:pPr>
      <w:r>
        <w:rPr>
          <w:color w:val="auto"/>
        </w:rPr>
        <w:t>Spets</w:t>
      </w:r>
      <w:r w:rsidR="00E51D9F" w:rsidRPr="00EE129B">
        <w:rPr>
          <w:color w:val="auto"/>
        </w:rPr>
        <w:t xml:space="preserve"> ('Fonden') </w:t>
      </w:r>
      <w:r w:rsidR="00E51D9F" w:rsidRPr="00EE129B">
        <w:rPr>
          <w:color w:val="auto"/>
          <w:szCs w:val="22"/>
        </w:rPr>
        <w:t xml:space="preserve">främjar miljörelaterade och sociala egenskaper genom att integrera hållbarhetsrisker och </w:t>
      </w:r>
      <w:r w:rsidR="00E51D9F" w:rsidRPr="00EE129B">
        <w:rPr>
          <w:color w:val="auto"/>
        </w:rPr>
        <w:t>beaktnign av de</w:t>
      </w:r>
      <w:r w:rsidR="00E51D9F" w:rsidRPr="00EE129B">
        <w:rPr>
          <w:color w:val="auto"/>
          <w:szCs w:val="22"/>
        </w:rPr>
        <w:t xml:space="preserve"> negativa effekter</w:t>
      </w:r>
      <w:r w:rsidR="00E51D9F" w:rsidRPr="00EE129B">
        <w:rPr>
          <w:color w:val="auto"/>
        </w:rPr>
        <w:t>na</w:t>
      </w:r>
      <w:r w:rsidR="00E51D9F" w:rsidRPr="00EE129B">
        <w:rPr>
          <w:color w:val="auto"/>
          <w:szCs w:val="22"/>
        </w:rPr>
        <w:t xml:space="preserve"> på hållbarhet (PAI) vid investeringsbeslut.</w:t>
      </w:r>
      <w:r w:rsidR="00E51D9F" w:rsidRPr="00EE129B">
        <w:rPr>
          <w:color w:val="auto"/>
        </w:rPr>
        <w:t xml:space="preserve"> </w:t>
      </w:r>
      <w:r w:rsidR="00E51D9F" w:rsidRPr="00EE129B">
        <w:rPr>
          <w:color w:val="auto"/>
          <w:szCs w:val="22"/>
        </w:rPr>
        <w:t>Fonden strävar efter att investera hållbart utan att ha en minimiandel för hållbara investeringar.</w:t>
      </w:r>
    </w:p>
    <w:p w14:paraId="244E324D" w14:textId="30241905" w:rsidR="00E51D9F" w:rsidRPr="00EE129B" w:rsidRDefault="00E51D9F" w:rsidP="00F03C40">
      <w:pPr>
        <w:widowControl w:val="0"/>
        <w:autoSpaceDE w:val="0"/>
        <w:autoSpaceDN w:val="0"/>
        <w:spacing w:before="2" w:after="0" w:line="259" w:lineRule="auto"/>
        <w:ind w:left="476" w:right="115"/>
        <w:rPr>
          <w:color w:val="auto"/>
        </w:rPr>
      </w:pPr>
      <w:r w:rsidRPr="00EE129B">
        <w:rPr>
          <w:color w:val="auto"/>
        </w:rPr>
        <w:t>Vid varje investeringsbeslut analyseras potentiella miljö- och sociala risker noggrant för att säkerställa långsiktig hållbarhet. Negativa effekter på hållbarhet rapporteras och ytterligare analyser genomförs vid behov.</w:t>
      </w:r>
    </w:p>
    <w:p w14:paraId="0A409B3F" w14:textId="77777777" w:rsidR="00F03C40" w:rsidRPr="00EE129B" w:rsidRDefault="00F03C40" w:rsidP="00F03C40">
      <w:pPr>
        <w:widowControl w:val="0"/>
        <w:autoSpaceDE w:val="0"/>
        <w:autoSpaceDN w:val="0"/>
        <w:spacing w:before="2" w:after="0" w:line="259" w:lineRule="auto"/>
        <w:ind w:left="476" w:right="115"/>
        <w:rPr>
          <w:color w:val="auto"/>
        </w:rPr>
      </w:pPr>
    </w:p>
    <w:p w14:paraId="66EC89B0" w14:textId="77777777" w:rsidR="00E51D9F" w:rsidRPr="00EE129B" w:rsidRDefault="00E51D9F" w:rsidP="00E51D9F">
      <w:pPr>
        <w:widowControl w:val="0"/>
        <w:autoSpaceDE w:val="0"/>
        <w:autoSpaceDN w:val="0"/>
        <w:spacing w:before="2" w:after="0" w:line="259" w:lineRule="auto"/>
        <w:ind w:left="476" w:right="115"/>
        <w:rPr>
          <w:color w:val="auto"/>
        </w:rPr>
      </w:pPr>
      <w:r w:rsidRPr="00EE129B">
        <w:rPr>
          <w:color w:val="auto"/>
        </w:rPr>
        <w:t>Fonden exkluderar bolag, med en 5% nivå av omsättningen, involverade i fossila bränslen, förbjudna vapen, kärnvapen, alkohol, tobak, cannabis, pornografi och kommersiell spelverksamhet, samt de som bryter mot internationella normer. Vissa undantag görs för att upprätthålla en diversifierad portfölj och möjliggöra en övergång till hållbara energikällor.</w:t>
      </w:r>
    </w:p>
    <w:p w14:paraId="239C5B5B" w14:textId="40697A71" w:rsidR="00733A59" w:rsidRPr="00EE129B" w:rsidRDefault="00733A59" w:rsidP="00733A59">
      <w:pPr>
        <w:pStyle w:val="Rubrik2"/>
        <w:numPr>
          <w:ilvl w:val="0"/>
          <w:numId w:val="0"/>
        </w:numPr>
        <w:ind w:left="125"/>
        <w:jc w:val="both"/>
        <w:rPr>
          <w:color w:val="auto"/>
        </w:rPr>
      </w:pPr>
    </w:p>
    <w:p w14:paraId="03EA7E96" w14:textId="2CD93393" w:rsidR="00E51D9F" w:rsidRPr="00EE129B" w:rsidRDefault="00E51D9F" w:rsidP="00E51D9F">
      <w:pPr>
        <w:pStyle w:val="Rubrik2"/>
        <w:jc w:val="both"/>
        <w:rPr>
          <w:color w:val="auto"/>
        </w:rPr>
      </w:pPr>
      <w:r w:rsidRPr="00EE129B">
        <w:rPr>
          <w:color w:val="auto"/>
        </w:rPr>
        <w:t>Beaktande</w:t>
      </w:r>
      <w:r w:rsidRPr="00EE129B">
        <w:rPr>
          <w:color w:val="auto"/>
          <w:spacing w:val="-11"/>
        </w:rPr>
        <w:t xml:space="preserve"> </w:t>
      </w:r>
      <w:r w:rsidRPr="00EE129B">
        <w:rPr>
          <w:color w:val="auto"/>
        </w:rPr>
        <w:t>av</w:t>
      </w:r>
      <w:r w:rsidRPr="00EE129B">
        <w:rPr>
          <w:color w:val="auto"/>
          <w:spacing w:val="-10"/>
        </w:rPr>
        <w:t xml:space="preserve"> </w:t>
      </w:r>
      <w:r w:rsidRPr="00EE129B">
        <w:rPr>
          <w:color w:val="auto"/>
        </w:rPr>
        <w:t>huvudsakliga</w:t>
      </w:r>
      <w:r w:rsidRPr="00EE129B">
        <w:rPr>
          <w:color w:val="auto"/>
          <w:spacing w:val="-14"/>
        </w:rPr>
        <w:t xml:space="preserve"> </w:t>
      </w:r>
      <w:r w:rsidRPr="00EE129B">
        <w:rPr>
          <w:color w:val="auto"/>
        </w:rPr>
        <w:t>negativa</w:t>
      </w:r>
      <w:r w:rsidRPr="00EE129B">
        <w:rPr>
          <w:color w:val="auto"/>
          <w:spacing w:val="-11"/>
        </w:rPr>
        <w:t xml:space="preserve"> </w:t>
      </w:r>
      <w:r w:rsidRPr="00EE129B">
        <w:rPr>
          <w:color w:val="auto"/>
          <w:spacing w:val="-2"/>
        </w:rPr>
        <w:t>konsekvenser</w:t>
      </w:r>
    </w:p>
    <w:p w14:paraId="560702F4" w14:textId="77777777" w:rsidR="00E51D9F" w:rsidRPr="00EE129B" w:rsidRDefault="00E51D9F" w:rsidP="00E51D9F">
      <w:pPr>
        <w:pStyle w:val="Brdtext"/>
        <w:spacing w:before="7"/>
        <w:jc w:val="both"/>
        <w:rPr>
          <w:rFonts w:ascii="Times New Roman" w:hAnsi="Times New Roman" w:cs="Times New Roman"/>
          <w:sz w:val="22"/>
          <w:szCs w:val="22"/>
        </w:rPr>
      </w:pPr>
      <w:r w:rsidRPr="00EE129B">
        <w:rPr>
          <w:rFonts w:ascii="Times New Roman" w:hAnsi="Times New Roman" w:cs="Times New Roman"/>
          <w:sz w:val="22"/>
          <w:szCs w:val="22"/>
        </w:rPr>
        <w:t xml:space="preserve">Fonden beaktar de negativa konsekvenserna på hållbarhetsfaktorer (PAI) genom att använda data från en extern hållbarhetsleverantör. Detta innebär att identifiera och bedöma potentiella negativa effekter som fonden kan ha, vilket används som underlag för investeringsstrategin i den analys och exkluderingskriterier som fonden har. Fonden investerar brett över flera sektorer, vilket gör att relevanta PAI-indikatorer varierar. Datakvalitet och tillgång till data påverkar integreringen av PAI i förvaltningen. </w:t>
      </w:r>
    </w:p>
    <w:p w14:paraId="660928E6" w14:textId="77777777" w:rsidR="00E51D9F" w:rsidRPr="00EE129B" w:rsidRDefault="00E51D9F" w:rsidP="00E51D9F">
      <w:pPr>
        <w:pStyle w:val="Brdtext"/>
        <w:spacing w:before="7"/>
        <w:jc w:val="both"/>
        <w:rPr>
          <w:rFonts w:ascii="Times New Roman" w:hAnsi="Times New Roman" w:cs="Times New Roman"/>
          <w:sz w:val="22"/>
          <w:szCs w:val="22"/>
        </w:rPr>
      </w:pPr>
    </w:p>
    <w:p w14:paraId="2CA4DB0A" w14:textId="77777777" w:rsidR="009251D5" w:rsidRDefault="009251D5" w:rsidP="00E51D9F">
      <w:pPr>
        <w:pStyle w:val="Brdtext"/>
        <w:spacing w:before="7"/>
        <w:jc w:val="both"/>
        <w:rPr>
          <w:rFonts w:ascii="Times New Roman" w:hAnsi="Times New Roman" w:cs="Times New Roman"/>
          <w:sz w:val="22"/>
          <w:szCs w:val="22"/>
        </w:rPr>
      </w:pPr>
    </w:p>
    <w:p w14:paraId="0872ECBB" w14:textId="0FD2FF9D" w:rsidR="00E51D9F" w:rsidRPr="00EE129B" w:rsidRDefault="00E51D9F" w:rsidP="00E51D9F">
      <w:pPr>
        <w:pStyle w:val="Brdtext"/>
        <w:spacing w:before="7"/>
        <w:jc w:val="both"/>
        <w:rPr>
          <w:rFonts w:ascii="Times New Roman" w:hAnsi="Times New Roman" w:cs="Times New Roman"/>
          <w:sz w:val="22"/>
          <w:szCs w:val="22"/>
        </w:rPr>
      </w:pPr>
      <w:r w:rsidRPr="00EE129B">
        <w:rPr>
          <w:rFonts w:ascii="Times New Roman" w:hAnsi="Times New Roman" w:cs="Times New Roman"/>
          <w:sz w:val="22"/>
          <w:szCs w:val="22"/>
        </w:rPr>
        <w:t xml:space="preserve">Fonden beaktar de 14 obligatoriska PAI-indikatorer samt två ytterligare indikatorer: </w:t>
      </w:r>
    </w:p>
    <w:p w14:paraId="3BF067FF" w14:textId="77777777" w:rsidR="00E51D9F" w:rsidRPr="00EE129B" w:rsidRDefault="00E51D9F" w:rsidP="00E51D9F">
      <w:pPr>
        <w:pStyle w:val="Brdtext"/>
        <w:spacing w:before="7"/>
        <w:jc w:val="both"/>
        <w:rPr>
          <w:rFonts w:ascii="Times New Roman" w:hAnsi="Times New Roman" w:cs="Times New Roman"/>
          <w:sz w:val="22"/>
          <w:szCs w:val="22"/>
        </w:rPr>
      </w:pPr>
    </w:p>
    <w:p w14:paraId="10D285F8" w14:textId="77777777" w:rsidR="00E51D9F" w:rsidRPr="00EE129B" w:rsidRDefault="00E51D9F" w:rsidP="00E51D9F">
      <w:pPr>
        <w:pStyle w:val="Brdtext"/>
        <w:spacing w:before="7"/>
        <w:jc w:val="both"/>
        <w:rPr>
          <w:rFonts w:ascii="Times New Roman" w:hAnsi="Times New Roman" w:cs="Times New Roman"/>
          <w:sz w:val="22"/>
          <w:szCs w:val="22"/>
        </w:rPr>
      </w:pPr>
      <w:r w:rsidRPr="00EE129B">
        <w:rPr>
          <w:rFonts w:ascii="Times New Roman" w:hAnsi="Times New Roman" w:cs="Times New Roman"/>
          <w:sz w:val="22"/>
          <w:szCs w:val="22"/>
        </w:rPr>
        <w:t xml:space="preserve">Miljöindikator: Utsläpp av luftföroreningar (miljö) och </w:t>
      </w:r>
    </w:p>
    <w:p w14:paraId="557FD1EF" w14:textId="4C969078" w:rsidR="00733A59" w:rsidRDefault="00E51D9F" w:rsidP="009251D5">
      <w:pPr>
        <w:pStyle w:val="Brdtext"/>
        <w:spacing w:before="7"/>
        <w:jc w:val="both"/>
        <w:rPr>
          <w:rFonts w:ascii="Times New Roman" w:hAnsi="Times New Roman" w:cs="Times New Roman"/>
          <w:sz w:val="22"/>
          <w:szCs w:val="22"/>
        </w:rPr>
      </w:pPr>
      <w:r w:rsidRPr="00EE129B">
        <w:rPr>
          <w:rFonts w:ascii="Times New Roman" w:hAnsi="Times New Roman" w:cs="Times New Roman"/>
          <w:sz w:val="22"/>
          <w:szCs w:val="22"/>
        </w:rPr>
        <w:t xml:space="preserve">Social indikator: Brist på tillbörliga aktsamhetsprocesser. </w:t>
      </w:r>
    </w:p>
    <w:p w14:paraId="41849B5F" w14:textId="77777777" w:rsidR="009251D5" w:rsidRPr="009251D5" w:rsidRDefault="009251D5" w:rsidP="009251D5">
      <w:pPr>
        <w:pStyle w:val="Brdtext"/>
        <w:spacing w:before="7"/>
        <w:jc w:val="both"/>
        <w:rPr>
          <w:rFonts w:ascii="Times New Roman" w:hAnsi="Times New Roman" w:cs="Times New Roman"/>
          <w:sz w:val="22"/>
          <w:szCs w:val="22"/>
        </w:rPr>
      </w:pPr>
    </w:p>
    <w:p w14:paraId="40C87A5B" w14:textId="298B065C" w:rsidR="00E51D9F" w:rsidRPr="00EE129B" w:rsidRDefault="00E51D9F" w:rsidP="00E51D9F">
      <w:pPr>
        <w:pStyle w:val="Rubrik2"/>
        <w:spacing w:before="93"/>
        <w:jc w:val="both"/>
        <w:rPr>
          <w:color w:val="auto"/>
        </w:rPr>
      </w:pPr>
      <w:r w:rsidRPr="00EE129B">
        <w:rPr>
          <w:color w:val="auto"/>
          <w:spacing w:val="-2"/>
        </w:rPr>
        <w:t>Investeringsstrategi</w:t>
      </w:r>
    </w:p>
    <w:p w14:paraId="660AD171" w14:textId="77777777" w:rsidR="00E51D9F" w:rsidRPr="00EE129B" w:rsidRDefault="00E51D9F" w:rsidP="00E51D9F">
      <w:pPr>
        <w:pStyle w:val="Brdtext"/>
        <w:spacing w:before="3"/>
        <w:jc w:val="both"/>
        <w:rPr>
          <w:rFonts w:ascii="Times New Roman" w:hAnsi="Times New Roman" w:cs="Times New Roman"/>
          <w:sz w:val="22"/>
          <w:szCs w:val="22"/>
        </w:rPr>
      </w:pPr>
      <w:r w:rsidRPr="00EE129B">
        <w:rPr>
          <w:rFonts w:ascii="Times New Roman" w:hAnsi="Times New Roman" w:cs="Times New Roman"/>
          <w:sz w:val="22"/>
          <w:szCs w:val="22"/>
        </w:rPr>
        <w:t xml:space="preserve">Denna finansiella produkt integrerar hållbarhetsanalys i investeringsbesluten genom att analysera varje portföljbolag med fokus på hållbarhetsfrågor. Strategin omfattar flera steg: </w:t>
      </w:r>
    </w:p>
    <w:p w14:paraId="4811DAD4" w14:textId="77777777" w:rsidR="00E51D9F" w:rsidRPr="00EE129B" w:rsidRDefault="00E51D9F" w:rsidP="00E51D9F">
      <w:pPr>
        <w:pStyle w:val="Brdtext"/>
        <w:spacing w:before="3"/>
        <w:jc w:val="both"/>
        <w:rPr>
          <w:rFonts w:ascii="Times New Roman" w:hAnsi="Times New Roman" w:cs="Times New Roman"/>
          <w:sz w:val="22"/>
          <w:szCs w:val="22"/>
        </w:rPr>
      </w:pPr>
    </w:p>
    <w:p w14:paraId="7004DDBD" w14:textId="77777777" w:rsidR="00E51D9F" w:rsidRPr="00EE129B" w:rsidRDefault="00E51D9F" w:rsidP="00E51D9F">
      <w:pPr>
        <w:pStyle w:val="Brdtext"/>
        <w:spacing w:before="3"/>
        <w:jc w:val="both"/>
        <w:rPr>
          <w:rFonts w:ascii="Times New Roman" w:hAnsi="Times New Roman" w:cs="Times New Roman"/>
          <w:sz w:val="22"/>
          <w:szCs w:val="22"/>
        </w:rPr>
      </w:pPr>
      <w:r w:rsidRPr="00EE129B">
        <w:rPr>
          <w:rFonts w:ascii="Times New Roman" w:hAnsi="Times New Roman" w:cs="Times New Roman"/>
          <w:sz w:val="22"/>
          <w:szCs w:val="22"/>
        </w:rPr>
        <w:t xml:space="preserve">- Exkluderingkriterier, på en 5% nivå av omsättningen, av bolag involverade i förbjudna vapen, kärnvapen, alkohol, tobak, cannabis, pornografi, kommersiell spelverksamhet och de som bryter mot internationella normer; utvärdering av hållbarhetsrisker och potentiella negativa konsekvenser innan investeringar görs </w:t>
      </w:r>
    </w:p>
    <w:p w14:paraId="05BB9CFE" w14:textId="77777777" w:rsidR="00E51D9F" w:rsidRPr="00EE129B" w:rsidRDefault="00E51D9F" w:rsidP="00E51D9F">
      <w:pPr>
        <w:pStyle w:val="Brdtext"/>
        <w:spacing w:before="3"/>
        <w:jc w:val="both"/>
        <w:rPr>
          <w:rFonts w:ascii="Times New Roman" w:hAnsi="Times New Roman" w:cs="Times New Roman"/>
          <w:sz w:val="22"/>
          <w:szCs w:val="22"/>
        </w:rPr>
      </w:pPr>
    </w:p>
    <w:p w14:paraId="09825D2C" w14:textId="77777777" w:rsidR="00E51D9F" w:rsidRPr="00EE129B" w:rsidRDefault="00E51D9F" w:rsidP="00E51D9F">
      <w:pPr>
        <w:pStyle w:val="Brdtext"/>
        <w:spacing w:before="3"/>
        <w:jc w:val="both"/>
        <w:rPr>
          <w:rFonts w:ascii="Times New Roman" w:hAnsi="Times New Roman" w:cs="Times New Roman"/>
          <w:sz w:val="22"/>
          <w:szCs w:val="22"/>
        </w:rPr>
      </w:pPr>
      <w:r w:rsidRPr="00EE129B">
        <w:rPr>
          <w:rFonts w:ascii="Times New Roman" w:hAnsi="Times New Roman" w:cs="Times New Roman"/>
          <w:sz w:val="22"/>
          <w:szCs w:val="22"/>
        </w:rPr>
        <w:t xml:space="preserve">- Kontinuerlig datainsamling från tredjepartsleverantörer för att säkerställa överensstämmelse med fondens mål. </w:t>
      </w:r>
    </w:p>
    <w:p w14:paraId="693D0A7E" w14:textId="77777777" w:rsidR="00E51D9F" w:rsidRPr="00EE129B" w:rsidRDefault="00E51D9F" w:rsidP="00E51D9F">
      <w:pPr>
        <w:pStyle w:val="Brdtext"/>
        <w:spacing w:before="3"/>
        <w:jc w:val="both"/>
        <w:rPr>
          <w:rFonts w:ascii="Times New Roman" w:hAnsi="Times New Roman" w:cs="Times New Roman"/>
          <w:sz w:val="22"/>
          <w:szCs w:val="22"/>
        </w:rPr>
      </w:pPr>
    </w:p>
    <w:p w14:paraId="65C875BD" w14:textId="77777777" w:rsidR="00E51D9F" w:rsidRPr="00EE129B" w:rsidRDefault="00E51D9F" w:rsidP="00E51D9F">
      <w:pPr>
        <w:pStyle w:val="Brdtext"/>
        <w:spacing w:before="3"/>
        <w:jc w:val="both"/>
        <w:rPr>
          <w:rFonts w:ascii="Times New Roman" w:hAnsi="Times New Roman" w:cs="Times New Roman"/>
          <w:sz w:val="22"/>
          <w:szCs w:val="22"/>
        </w:rPr>
      </w:pPr>
      <w:r w:rsidRPr="00EE129B">
        <w:rPr>
          <w:rFonts w:ascii="Times New Roman" w:hAnsi="Times New Roman" w:cs="Times New Roman"/>
          <w:sz w:val="22"/>
          <w:szCs w:val="22"/>
        </w:rPr>
        <w:t>- Beaktande av hållbarhetsrisker vid varje investeringsbeslut genom kvalitativ analys och aktiv bevakning av marknadshändelser. För varje investering sker en analys och utvärdering kopplat till hållbarhetsriskerna och de mål som definierats för att främja hållbarhet i fonden.</w:t>
      </w:r>
    </w:p>
    <w:p w14:paraId="5659B810" w14:textId="77777777" w:rsidR="00E51D9F" w:rsidRPr="00EE129B" w:rsidRDefault="00E51D9F" w:rsidP="00E51D9F">
      <w:pPr>
        <w:pStyle w:val="Brdtext"/>
        <w:spacing w:before="3"/>
        <w:jc w:val="both"/>
        <w:rPr>
          <w:rFonts w:ascii="Times New Roman" w:hAnsi="Times New Roman" w:cs="Times New Roman"/>
          <w:sz w:val="22"/>
          <w:szCs w:val="22"/>
        </w:rPr>
      </w:pPr>
    </w:p>
    <w:p w14:paraId="4AF726F0" w14:textId="77777777" w:rsidR="00E51D9F" w:rsidRPr="00EE129B" w:rsidRDefault="00E51D9F" w:rsidP="00E51D9F">
      <w:pPr>
        <w:pStyle w:val="Brdtext"/>
        <w:spacing w:before="3"/>
        <w:jc w:val="both"/>
        <w:rPr>
          <w:rFonts w:ascii="Times New Roman" w:hAnsi="Times New Roman" w:cs="Times New Roman"/>
          <w:sz w:val="22"/>
          <w:szCs w:val="20"/>
        </w:rPr>
      </w:pPr>
      <w:r w:rsidRPr="00EE129B">
        <w:rPr>
          <w:rFonts w:ascii="Times New Roman" w:hAnsi="Times New Roman" w:cs="Times New Roman"/>
          <w:sz w:val="22"/>
          <w:szCs w:val="22"/>
        </w:rPr>
        <w:t xml:space="preserve">Fortsättningsvis beaktas de negativa effekter på hållbarhet (PAI) och rapporteras och ligger till grund för ytterligare analyser och underlag för investeringsstrategin. Detta utmynnar även i utvärderingar utav fondens hållbarhetsnivå där eventuella åtgärder, om lämpligt, tas i beaktning och vidtas för att säkerställa att fonden uppfyller de kraven som definierats. </w:t>
      </w:r>
    </w:p>
    <w:p w14:paraId="069D98F6" w14:textId="77777777" w:rsidR="00E51D9F" w:rsidRPr="00EE129B" w:rsidRDefault="00E51D9F" w:rsidP="00E51D9F">
      <w:pPr>
        <w:pStyle w:val="Rubrik2"/>
        <w:spacing w:before="269"/>
        <w:jc w:val="both"/>
        <w:rPr>
          <w:color w:val="auto"/>
        </w:rPr>
      </w:pPr>
      <w:r w:rsidRPr="00EE129B">
        <w:rPr>
          <w:color w:val="auto"/>
        </w:rPr>
        <w:t>Andel</w:t>
      </w:r>
      <w:r w:rsidRPr="00EE129B">
        <w:rPr>
          <w:color w:val="auto"/>
          <w:spacing w:val="-5"/>
        </w:rPr>
        <w:t xml:space="preserve"> </w:t>
      </w:r>
      <w:r w:rsidRPr="00EE129B">
        <w:rPr>
          <w:color w:val="auto"/>
        </w:rPr>
        <w:t>av</w:t>
      </w:r>
      <w:r w:rsidRPr="00EE129B">
        <w:rPr>
          <w:color w:val="auto"/>
          <w:spacing w:val="-5"/>
        </w:rPr>
        <w:t xml:space="preserve"> </w:t>
      </w:r>
      <w:r w:rsidRPr="00EE129B">
        <w:rPr>
          <w:color w:val="auto"/>
          <w:spacing w:val="-2"/>
        </w:rPr>
        <w:t>investeringar</w:t>
      </w:r>
    </w:p>
    <w:p w14:paraId="6701CBB0" w14:textId="77777777" w:rsidR="00E51D9F" w:rsidRPr="00EE129B" w:rsidRDefault="00E51D9F" w:rsidP="00E51D9F">
      <w:pPr>
        <w:pStyle w:val="Brdtext"/>
        <w:spacing w:before="3"/>
        <w:ind w:right="195"/>
        <w:jc w:val="both"/>
        <w:rPr>
          <w:rFonts w:ascii="Times New Roman" w:hAnsi="Times New Roman" w:cs="Times New Roman"/>
          <w:sz w:val="22"/>
          <w:szCs w:val="22"/>
        </w:rPr>
      </w:pPr>
      <w:r w:rsidRPr="00EE129B">
        <w:rPr>
          <w:rFonts w:ascii="Times New Roman" w:hAnsi="Times New Roman" w:cs="Times New Roman"/>
          <w:sz w:val="22"/>
          <w:szCs w:val="22"/>
        </w:rPr>
        <w:t>De</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miljörelaterade</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och</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sociala</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egenskaperna</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som</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främjas</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fonden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gäller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för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alla investeringar i portföljbolag. Beräknad är 90% av fondens tillgångar vara linjerade med miljörelaterade och sociala egenskaper som främjas och definierats av fonden. Resterande 10% kan bland annat placeringar i likviditetssyfte ingå, exempelvis fondens kassa.</w:t>
      </w:r>
    </w:p>
    <w:p w14:paraId="4AF0133A" w14:textId="77777777" w:rsidR="00E51D9F" w:rsidRPr="00EE129B" w:rsidRDefault="00E51D9F" w:rsidP="00E51D9F">
      <w:pPr>
        <w:pStyle w:val="Rubrik2"/>
        <w:spacing w:before="271" w:line="242" w:lineRule="auto"/>
        <w:jc w:val="both"/>
        <w:rPr>
          <w:color w:val="auto"/>
        </w:rPr>
      </w:pPr>
      <w:r w:rsidRPr="00EE129B">
        <w:rPr>
          <w:color w:val="auto"/>
        </w:rPr>
        <w:t>Övervakning</w:t>
      </w:r>
      <w:r w:rsidRPr="00EE129B">
        <w:rPr>
          <w:color w:val="auto"/>
          <w:spacing w:val="-3"/>
        </w:rPr>
        <w:t xml:space="preserve"> </w:t>
      </w:r>
      <w:r w:rsidRPr="00EE129B">
        <w:rPr>
          <w:color w:val="auto"/>
        </w:rPr>
        <w:t>av</w:t>
      </w:r>
      <w:r w:rsidRPr="00EE129B">
        <w:rPr>
          <w:color w:val="auto"/>
          <w:spacing w:val="-4"/>
        </w:rPr>
        <w:t xml:space="preserve"> </w:t>
      </w:r>
      <w:r w:rsidRPr="00EE129B">
        <w:rPr>
          <w:color w:val="auto"/>
        </w:rPr>
        <w:t>miljörelaterade</w:t>
      </w:r>
      <w:r w:rsidRPr="00EE129B">
        <w:rPr>
          <w:color w:val="auto"/>
          <w:spacing w:val="-4"/>
        </w:rPr>
        <w:t xml:space="preserve"> </w:t>
      </w:r>
      <w:r w:rsidRPr="00EE129B">
        <w:rPr>
          <w:color w:val="auto"/>
        </w:rPr>
        <w:t>eller</w:t>
      </w:r>
      <w:r w:rsidRPr="00EE129B">
        <w:rPr>
          <w:color w:val="auto"/>
          <w:spacing w:val="-7"/>
        </w:rPr>
        <w:t xml:space="preserve"> </w:t>
      </w:r>
      <w:r w:rsidRPr="00EE129B">
        <w:rPr>
          <w:color w:val="auto"/>
        </w:rPr>
        <w:t>sociala</w:t>
      </w:r>
      <w:r w:rsidRPr="00EE129B">
        <w:rPr>
          <w:color w:val="auto"/>
          <w:spacing w:val="-4"/>
        </w:rPr>
        <w:t xml:space="preserve"> </w:t>
      </w:r>
      <w:r w:rsidRPr="00EE129B">
        <w:rPr>
          <w:color w:val="auto"/>
        </w:rPr>
        <w:t>egenskaper,</w:t>
      </w:r>
      <w:r w:rsidRPr="00EE129B">
        <w:rPr>
          <w:color w:val="auto"/>
          <w:spacing w:val="-4"/>
        </w:rPr>
        <w:t xml:space="preserve"> </w:t>
      </w:r>
      <w:r w:rsidRPr="00EE129B">
        <w:rPr>
          <w:color w:val="auto"/>
        </w:rPr>
        <w:t>due</w:t>
      </w:r>
      <w:r w:rsidRPr="00EE129B">
        <w:rPr>
          <w:color w:val="auto"/>
          <w:spacing w:val="-4"/>
        </w:rPr>
        <w:t xml:space="preserve"> </w:t>
      </w:r>
      <w:r w:rsidRPr="00EE129B">
        <w:rPr>
          <w:color w:val="auto"/>
        </w:rPr>
        <w:t>diligence, datakällor, metod och begränsningar</w:t>
      </w:r>
    </w:p>
    <w:p w14:paraId="771E6E4F" w14:textId="77777777" w:rsidR="00E51D9F" w:rsidRPr="00EE129B" w:rsidRDefault="00E51D9F" w:rsidP="00E51D9F">
      <w:pPr>
        <w:pStyle w:val="Brdtext"/>
        <w:spacing w:before="29"/>
        <w:rPr>
          <w:rFonts w:ascii="Times New Roman" w:hAnsi="Times New Roman" w:cs="Times New Roman"/>
          <w:sz w:val="22"/>
          <w:szCs w:val="22"/>
        </w:rPr>
      </w:pPr>
      <w:r w:rsidRPr="00EE129B">
        <w:rPr>
          <w:rFonts w:ascii="Times New Roman" w:hAnsi="Times New Roman" w:cs="Times New Roman"/>
          <w:sz w:val="22"/>
          <w:szCs w:val="22"/>
        </w:rPr>
        <w:t>Fonden främjar miljö- och sociala egenskaper genom att mäta indikatorer för hållbarhet enligt EU:s "Sustainable Finance Disclosure Regulation". Dessa inkluderar växthusgasutsläpp, biologisk mångfald, vattenanvändning, sociala förhållanden, mänskliga rättigheter och brott mot internationella normer. Investeringar granskas för hållbarhetsrisker och möjligheter, och företag som inte följer internationella normer undviks.</w:t>
      </w:r>
    </w:p>
    <w:p w14:paraId="657ACF86" w14:textId="77777777" w:rsidR="00E51D9F" w:rsidRPr="00EE129B" w:rsidRDefault="00E51D9F" w:rsidP="00E51D9F">
      <w:pPr>
        <w:pStyle w:val="Brdtext"/>
        <w:spacing w:before="29"/>
        <w:rPr>
          <w:rFonts w:ascii="Times New Roman" w:hAnsi="Times New Roman" w:cs="Times New Roman"/>
          <w:sz w:val="22"/>
          <w:szCs w:val="22"/>
        </w:rPr>
      </w:pPr>
    </w:p>
    <w:p w14:paraId="33782737" w14:textId="77777777" w:rsidR="00E51D9F" w:rsidRPr="00EE129B" w:rsidRDefault="00E51D9F" w:rsidP="00E51D9F">
      <w:pPr>
        <w:pStyle w:val="Brdtext"/>
        <w:spacing w:before="29"/>
        <w:rPr>
          <w:rFonts w:ascii="Times New Roman" w:hAnsi="Times New Roman" w:cs="Times New Roman"/>
          <w:b/>
          <w:bCs/>
          <w:sz w:val="22"/>
          <w:szCs w:val="22"/>
        </w:rPr>
      </w:pPr>
      <w:r w:rsidRPr="00EE129B">
        <w:rPr>
          <w:rFonts w:ascii="Times New Roman" w:hAnsi="Times New Roman" w:cs="Times New Roman"/>
          <w:b/>
          <w:bCs/>
          <w:sz w:val="22"/>
          <w:szCs w:val="22"/>
        </w:rPr>
        <w:t>Övervakning:</w:t>
      </w:r>
    </w:p>
    <w:p w14:paraId="23853329" w14:textId="77777777" w:rsidR="00E51D9F" w:rsidRPr="00EE129B" w:rsidRDefault="00E51D9F" w:rsidP="00E51D9F">
      <w:pPr>
        <w:pStyle w:val="Brdtext"/>
        <w:numPr>
          <w:ilvl w:val="0"/>
          <w:numId w:val="4"/>
        </w:numPr>
        <w:spacing w:before="29"/>
        <w:rPr>
          <w:rFonts w:ascii="Times New Roman" w:hAnsi="Times New Roman" w:cs="Times New Roman"/>
          <w:sz w:val="22"/>
          <w:szCs w:val="22"/>
        </w:rPr>
      </w:pPr>
      <w:r w:rsidRPr="00EE129B">
        <w:rPr>
          <w:rFonts w:ascii="Times New Roman" w:hAnsi="Times New Roman" w:cs="Times New Roman"/>
          <w:b/>
          <w:bCs/>
          <w:sz w:val="22"/>
          <w:szCs w:val="22"/>
        </w:rPr>
        <w:t>Hållbarhetsrisker och negativa effekter</w:t>
      </w:r>
      <w:r w:rsidRPr="00EE129B">
        <w:rPr>
          <w:rFonts w:ascii="Times New Roman" w:hAnsi="Times New Roman" w:cs="Times New Roman"/>
          <w:sz w:val="22"/>
          <w:szCs w:val="22"/>
        </w:rPr>
        <w:t>: Granskning av investeringar med hjälp av kvalitativ analys och tredjepartsdata.</w:t>
      </w:r>
    </w:p>
    <w:p w14:paraId="48087EFD" w14:textId="77777777" w:rsidR="00E51D9F" w:rsidRPr="00EE129B" w:rsidRDefault="00E51D9F" w:rsidP="00E51D9F">
      <w:pPr>
        <w:pStyle w:val="Brdtext"/>
        <w:numPr>
          <w:ilvl w:val="0"/>
          <w:numId w:val="4"/>
        </w:numPr>
        <w:spacing w:before="29"/>
        <w:rPr>
          <w:rFonts w:ascii="Times New Roman" w:hAnsi="Times New Roman" w:cs="Times New Roman"/>
          <w:sz w:val="22"/>
          <w:szCs w:val="22"/>
        </w:rPr>
      </w:pPr>
      <w:r w:rsidRPr="00EE129B">
        <w:rPr>
          <w:rFonts w:ascii="Times New Roman" w:hAnsi="Times New Roman" w:cs="Times New Roman"/>
          <w:b/>
          <w:bCs/>
          <w:sz w:val="22"/>
          <w:szCs w:val="22"/>
        </w:rPr>
        <w:t>Normbaserad analys</w:t>
      </w:r>
      <w:r w:rsidRPr="00EE129B">
        <w:rPr>
          <w:rFonts w:ascii="Times New Roman" w:hAnsi="Times New Roman" w:cs="Times New Roman"/>
          <w:sz w:val="22"/>
          <w:szCs w:val="22"/>
        </w:rPr>
        <w:t>: Undvikande av företag som bryter mot internationella miljö- och sociala normer.</w:t>
      </w:r>
    </w:p>
    <w:p w14:paraId="08FC9A9D" w14:textId="77777777" w:rsidR="00E51D9F" w:rsidRPr="00EE129B" w:rsidRDefault="00E51D9F" w:rsidP="00E51D9F">
      <w:pPr>
        <w:pStyle w:val="Brdtext"/>
        <w:numPr>
          <w:ilvl w:val="0"/>
          <w:numId w:val="4"/>
        </w:numPr>
        <w:spacing w:before="29"/>
        <w:rPr>
          <w:rFonts w:ascii="Times New Roman" w:hAnsi="Times New Roman" w:cs="Times New Roman"/>
          <w:sz w:val="22"/>
          <w:szCs w:val="22"/>
        </w:rPr>
      </w:pPr>
      <w:r w:rsidRPr="00EE129B">
        <w:rPr>
          <w:rFonts w:ascii="Times New Roman" w:hAnsi="Times New Roman" w:cs="Times New Roman"/>
          <w:b/>
          <w:bCs/>
          <w:sz w:val="22"/>
          <w:szCs w:val="22"/>
        </w:rPr>
        <w:t>Kontroversiella bolag</w:t>
      </w:r>
      <w:r w:rsidRPr="00EE129B">
        <w:rPr>
          <w:rFonts w:ascii="Times New Roman" w:hAnsi="Times New Roman" w:cs="Times New Roman"/>
          <w:sz w:val="22"/>
          <w:szCs w:val="22"/>
        </w:rPr>
        <w:t>: Granskning och undvikande av företag med allvarliga överträdelser.</w:t>
      </w:r>
    </w:p>
    <w:p w14:paraId="5DC41F52" w14:textId="77777777" w:rsidR="00E51D9F" w:rsidRPr="00EE129B" w:rsidRDefault="00E51D9F" w:rsidP="00E51D9F">
      <w:pPr>
        <w:pStyle w:val="Brdtext"/>
        <w:spacing w:before="29"/>
        <w:ind w:left="1080"/>
        <w:rPr>
          <w:rFonts w:ascii="Times New Roman" w:hAnsi="Times New Roman" w:cs="Times New Roman"/>
          <w:sz w:val="22"/>
          <w:szCs w:val="22"/>
        </w:rPr>
      </w:pPr>
    </w:p>
    <w:p w14:paraId="3E0C69F9" w14:textId="1C8EC689" w:rsidR="00E51D9F" w:rsidRPr="00EE129B" w:rsidRDefault="00E51D9F" w:rsidP="00733A59">
      <w:pPr>
        <w:pStyle w:val="Brdtext"/>
        <w:spacing w:before="29"/>
        <w:rPr>
          <w:rFonts w:ascii="Times New Roman" w:hAnsi="Times New Roman" w:cs="Times New Roman"/>
          <w:sz w:val="22"/>
          <w:szCs w:val="22"/>
        </w:rPr>
        <w:sectPr w:rsidR="00E51D9F" w:rsidRPr="00EE129B" w:rsidSect="00A45826">
          <w:headerReference w:type="even" r:id="rId12"/>
          <w:headerReference w:type="default" r:id="rId13"/>
          <w:footerReference w:type="even" r:id="rId14"/>
          <w:footerReference w:type="default" r:id="rId15"/>
          <w:headerReference w:type="first" r:id="rId16"/>
          <w:footerReference w:type="first" r:id="rId17"/>
          <w:pgSz w:w="11910" w:h="16840"/>
          <w:pgMar w:top="1420" w:right="1300" w:bottom="280" w:left="940" w:header="706" w:footer="1134" w:gutter="0"/>
          <w:cols w:space="720"/>
          <w:docGrid w:linePitch="299"/>
        </w:sectPr>
      </w:pPr>
      <w:r w:rsidRPr="00EE129B">
        <w:rPr>
          <w:rFonts w:ascii="Times New Roman" w:hAnsi="Times New Roman" w:cs="Times New Roman"/>
          <w:sz w:val="22"/>
          <w:szCs w:val="22"/>
        </w:rPr>
        <w:t>Exkluderingskriterierna beaktas under hela investeringsprocessen för att säkerställa att fonden främjar hållbara och ansvarsfulla investerin</w:t>
      </w:r>
    </w:p>
    <w:p w14:paraId="7D4A4E78" w14:textId="19107BBD" w:rsidR="00E51D9F" w:rsidRPr="00EE129B" w:rsidRDefault="00C62878" w:rsidP="00E51D9F">
      <w:pPr>
        <w:pStyle w:val="Rubrik1"/>
        <w:spacing w:before="91"/>
        <w:rPr>
          <w:color w:val="auto"/>
          <w:sz w:val="28"/>
          <w:szCs w:val="28"/>
        </w:rPr>
      </w:pPr>
      <w:r w:rsidRPr="00EE129B">
        <w:rPr>
          <w:color w:val="auto"/>
          <w:sz w:val="28"/>
          <w:szCs w:val="28"/>
        </w:rPr>
        <w:lastRenderedPageBreak/>
        <w:t>M</w:t>
      </w:r>
      <w:r w:rsidR="00E51D9F" w:rsidRPr="00EE129B">
        <w:rPr>
          <w:color w:val="auto"/>
          <w:sz w:val="28"/>
          <w:szCs w:val="28"/>
        </w:rPr>
        <w:t>ål</w:t>
      </w:r>
      <w:r w:rsidR="00E51D9F" w:rsidRPr="00EE129B">
        <w:rPr>
          <w:b w:val="0"/>
          <w:color w:val="auto"/>
          <w:spacing w:val="-13"/>
          <w:sz w:val="28"/>
          <w:szCs w:val="28"/>
        </w:rPr>
        <w:t xml:space="preserve"> </w:t>
      </w:r>
      <w:r w:rsidR="00E51D9F" w:rsidRPr="00EE129B">
        <w:rPr>
          <w:color w:val="auto"/>
          <w:sz w:val="28"/>
          <w:szCs w:val="28"/>
        </w:rPr>
        <w:t>för</w:t>
      </w:r>
      <w:r w:rsidR="00E51D9F" w:rsidRPr="00EE129B">
        <w:rPr>
          <w:b w:val="0"/>
          <w:color w:val="auto"/>
          <w:spacing w:val="-11"/>
          <w:sz w:val="28"/>
          <w:szCs w:val="28"/>
        </w:rPr>
        <w:t xml:space="preserve"> </w:t>
      </w:r>
      <w:r w:rsidR="00E51D9F" w:rsidRPr="00EE129B">
        <w:rPr>
          <w:color w:val="auto"/>
          <w:sz w:val="28"/>
          <w:szCs w:val="28"/>
        </w:rPr>
        <w:t>hållbar</w:t>
      </w:r>
      <w:r w:rsidR="00E51D9F" w:rsidRPr="00EE129B">
        <w:rPr>
          <w:b w:val="0"/>
          <w:color w:val="auto"/>
          <w:spacing w:val="-10"/>
          <w:sz w:val="28"/>
          <w:szCs w:val="28"/>
        </w:rPr>
        <w:t xml:space="preserve"> </w:t>
      </w:r>
      <w:r w:rsidR="00E51D9F" w:rsidRPr="00EE129B">
        <w:rPr>
          <w:color w:val="auto"/>
          <w:spacing w:val="-2"/>
          <w:sz w:val="28"/>
          <w:szCs w:val="28"/>
        </w:rPr>
        <w:t>investering</w:t>
      </w:r>
    </w:p>
    <w:p w14:paraId="26B149B5" w14:textId="77777777" w:rsidR="00E51D9F" w:rsidRPr="00EE129B" w:rsidRDefault="00E51D9F" w:rsidP="00E51D9F">
      <w:pPr>
        <w:pStyle w:val="Brdtext"/>
        <w:spacing w:before="8" w:line="237" w:lineRule="auto"/>
        <w:ind w:right="156"/>
        <w:rPr>
          <w:rFonts w:ascii="Times New Roman" w:hAnsi="Times New Roman" w:cs="Times New Roman"/>
          <w:sz w:val="22"/>
          <w:szCs w:val="22"/>
        </w:rPr>
      </w:pPr>
      <w:r w:rsidRPr="00EE129B">
        <w:rPr>
          <w:rFonts w:ascii="Times New Roman" w:hAnsi="Times New Roman" w:cs="Times New Roman"/>
          <w:sz w:val="22"/>
          <w:szCs w:val="22"/>
        </w:rPr>
        <w:t>Denna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finansiella</w:t>
      </w:r>
      <w:r w:rsidRPr="00EE129B">
        <w:rPr>
          <w:rFonts w:ascii="Times New Roman" w:hAnsi="Times New Roman" w:cs="Times New Roman"/>
          <w:spacing w:val="-8"/>
          <w:sz w:val="22"/>
          <w:szCs w:val="22"/>
        </w:rPr>
        <w:t xml:space="preserve"> </w:t>
      </w:r>
      <w:r w:rsidRPr="00EE129B">
        <w:rPr>
          <w:rFonts w:ascii="Times New Roman" w:hAnsi="Times New Roman" w:cs="Times New Roman"/>
          <w:sz w:val="22"/>
          <w:szCs w:val="22"/>
        </w:rPr>
        <w:t>produkt främjar</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miljörelaterade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eller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sociala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egenskaper,</w:t>
      </w:r>
      <w:r w:rsidRPr="00EE129B">
        <w:rPr>
          <w:rFonts w:ascii="Times New Roman" w:hAnsi="Times New Roman" w:cs="Times New Roman"/>
          <w:spacing w:val="-8"/>
          <w:sz w:val="22"/>
          <w:szCs w:val="22"/>
        </w:rPr>
        <w:t xml:space="preserve"> </w:t>
      </w:r>
      <w:r w:rsidRPr="00EE129B">
        <w:rPr>
          <w:rFonts w:ascii="Times New Roman" w:hAnsi="Times New Roman" w:cs="Times New Roman"/>
          <w:sz w:val="22"/>
          <w:szCs w:val="22"/>
        </w:rPr>
        <w:t>men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har inte hållbar investering i sig som mål.</w:t>
      </w:r>
    </w:p>
    <w:p w14:paraId="7A655ED2" w14:textId="77777777" w:rsidR="00E51D9F" w:rsidRPr="00EE129B" w:rsidRDefault="00E51D9F" w:rsidP="00E51D9F">
      <w:pPr>
        <w:pStyle w:val="Brdtext"/>
        <w:spacing w:before="8" w:line="237" w:lineRule="auto"/>
        <w:ind w:right="156"/>
        <w:rPr>
          <w:rFonts w:ascii="Times New Roman" w:hAnsi="Times New Roman" w:cs="Times New Roman"/>
          <w:sz w:val="22"/>
          <w:szCs w:val="22"/>
        </w:rPr>
      </w:pPr>
    </w:p>
    <w:p w14:paraId="1DF395BA" w14:textId="77777777" w:rsidR="00E51D9F" w:rsidRPr="00EE129B" w:rsidRDefault="00E51D9F" w:rsidP="00E51D9F">
      <w:pPr>
        <w:pStyle w:val="Brdtext"/>
        <w:spacing w:before="3"/>
        <w:ind w:right="156"/>
        <w:rPr>
          <w:rFonts w:ascii="Times New Roman" w:hAnsi="Times New Roman" w:cs="Times New Roman"/>
          <w:sz w:val="22"/>
          <w:szCs w:val="22"/>
        </w:rPr>
      </w:pPr>
      <w:r w:rsidRPr="00EE129B">
        <w:rPr>
          <w:rFonts w:ascii="Times New Roman" w:hAnsi="Times New Roman" w:cs="Times New Roman"/>
          <w:sz w:val="22"/>
          <w:szCs w:val="22"/>
        </w:rPr>
        <w:t>I</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fondportföljen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gör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vi</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inte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åtaganden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om att</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en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minimiandel</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investeringarna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utgör hållbara investeringar. Vår portföljförvaltare kan dock inom ramen för sitt uppdrag välja investeringar som per se utgör hållbara investeringar.</w:t>
      </w:r>
    </w:p>
    <w:p w14:paraId="24C3C8BA" w14:textId="77777777" w:rsidR="00E51D9F" w:rsidRPr="00EE129B" w:rsidRDefault="00E51D9F" w:rsidP="00E51D9F">
      <w:pPr>
        <w:pStyle w:val="Brdtext"/>
        <w:spacing w:before="29"/>
        <w:ind w:left="0"/>
        <w:rPr>
          <w:rFonts w:ascii="Times New Roman" w:hAnsi="Times New Roman" w:cs="Times New Roman"/>
          <w:sz w:val="22"/>
          <w:szCs w:val="22"/>
        </w:rPr>
      </w:pPr>
    </w:p>
    <w:p w14:paraId="05F85E57" w14:textId="77777777" w:rsidR="00E51D9F" w:rsidRPr="00EE129B" w:rsidRDefault="00E51D9F" w:rsidP="00E51D9F">
      <w:pPr>
        <w:pStyle w:val="Rubrik1"/>
        <w:rPr>
          <w:color w:val="auto"/>
          <w:sz w:val="28"/>
          <w:szCs w:val="28"/>
        </w:rPr>
      </w:pPr>
      <w:r w:rsidRPr="00EE129B">
        <w:rPr>
          <w:color w:val="auto"/>
          <w:sz w:val="28"/>
          <w:szCs w:val="28"/>
        </w:rPr>
        <w:t>Den</w:t>
      </w:r>
      <w:r w:rsidRPr="00EE129B">
        <w:rPr>
          <w:b w:val="0"/>
          <w:color w:val="auto"/>
          <w:spacing w:val="-22"/>
          <w:sz w:val="28"/>
          <w:szCs w:val="28"/>
        </w:rPr>
        <w:t xml:space="preserve"> </w:t>
      </w:r>
      <w:r w:rsidRPr="00EE129B">
        <w:rPr>
          <w:color w:val="auto"/>
          <w:sz w:val="28"/>
          <w:szCs w:val="28"/>
        </w:rPr>
        <w:t>finansiella</w:t>
      </w:r>
      <w:r w:rsidRPr="00EE129B">
        <w:rPr>
          <w:b w:val="0"/>
          <w:color w:val="auto"/>
          <w:spacing w:val="-18"/>
          <w:sz w:val="28"/>
          <w:szCs w:val="28"/>
        </w:rPr>
        <w:t xml:space="preserve"> </w:t>
      </w:r>
      <w:r w:rsidRPr="00EE129B">
        <w:rPr>
          <w:color w:val="auto"/>
          <w:sz w:val="28"/>
          <w:szCs w:val="28"/>
        </w:rPr>
        <w:t>produktens</w:t>
      </w:r>
      <w:r w:rsidRPr="00EE129B">
        <w:rPr>
          <w:b w:val="0"/>
          <w:color w:val="auto"/>
          <w:spacing w:val="-17"/>
          <w:sz w:val="28"/>
          <w:szCs w:val="28"/>
        </w:rPr>
        <w:t xml:space="preserve"> </w:t>
      </w:r>
      <w:r w:rsidRPr="00EE129B">
        <w:rPr>
          <w:color w:val="auto"/>
          <w:sz w:val="28"/>
          <w:szCs w:val="28"/>
        </w:rPr>
        <w:t>miljörelaterade</w:t>
      </w:r>
      <w:r w:rsidRPr="00EE129B">
        <w:rPr>
          <w:b w:val="0"/>
          <w:color w:val="auto"/>
          <w:spacing w:val="-20"/>
          <w:sz w:val="28"/>
          <w:szCs w:val="28"/>
        </w:rPr>
        <w:t xml:space="preserve"> </w:t>
      </w:r>
      <w:r w:rsidRPr="00EE129B">
        <w:rPr>
          <w:color w:val="auto"/>
          <w:sz w:val="28"/>
          <w:szCs w:val="28"/>
        </w:rPr>
        <w:t>eller</w:t>
      </w:r>
      <w:r w:rsidRPr="00EE129B">
        <w:rPr>
          <w:b w:val="0"/>
          <w:color w:val="auto"/>
          <w:spacing w:val="-16"/>
          <w:sz w:val="28"/>
          <w:szCs w:val="28"/>
        </w:rPr>
        <w:t xml:space="preserve"> </w:t>
      </w:r>
      <w:r w:rsidRPr="00EE129B">
        <w:rPr>
          <w:color w:val="auto"/>
          <w:sz w:val="28"/>
          <w:szCs w:val="28"/>
        </w:rPr>
        <w:t>sociala</w:t>
      </w:r>
      <w:r w:rsidRPr="00EE129B">
        <w:rPr>
          <w:b w:val="0"/>
          <w:color w:val="auto"/>
          <w:spacing w:val="-18"/>
          <w:sz w:val="28"/>
          <w:szCs w:val="28"/>
        </w:rPr>
        <w:t xml:space="preserve"> </w:t>
      </w:r>
      <w:r w:rsidRPr="00EE129B">
        <w:rPr>
          <w:color w:val="auto"/>
          <w:spacing w:val="-2"/>
          <w:sz w:val="28"/>
          <w:szCs w:val="28"/>
        </w:rPr>
        <w:t>egenskaper</w:t>
      </w:r>
    </w:p>
    <w:p w14:paraId="2447F01F"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Denna finansiella produkt är utformad för att främja både miljörelaterade och sociala egenskaper genom att integrera hållbarhetsrisker och överväga negativa effekter på hållbarhet (PAI) vid investeringsbeslut. Även om fonden inte har någon minimiandel för hållbara investeringar, strävar den efter att i möjligaste mån investera på ett sätt som främjar hållbarhet baserat på specifika kriterier och egenskaper.</w:t>
      </w:r>
    </w:p>
    <w:p w14:paraId="76D397CC" w14:textId="77777777" w:rsidR="00E51D9F" w:rsidRPr="00EE129B" w:rsidRDefault="00E51D9F" w:rsidP="00E51D9F">
      <w:pPr>
        <w:pStyle w:val="Brdtext"/>
        <w:spacing w:before="26"/>
        <w:rPr>
          <w:rFonts w:ascii="Times New Roman" w:hAnsi="Times New Roman" w:cs="Times New Roman"/>
          <w:sz w:val="22"/>
          <w:szCs w:val="22"/>
        </w:rPr>
      </w:pPr>
    </w:p>
    <w:p w14:paraId="2E735257" w14:textId="40AA937B"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Vid varje investeringsbeslut beaktas hållbarhetsrisker noggrant. Detta innebär att potentiella miljö- och sociala risker analyseras för att säkerställa att investeringarna är hållbara på lång sikt. Analysen utförs genom en kvalitativ bedömning och aktiv bevakning av relevanta marknadshändelser för varje bolag. Syftet är att identifiera långsiktiga risker och möjligheter, där hållbarhetsrisker är en central del av analysen. Detta tillvägagångssätt hjälper till att undvika kortsiktiga beslut och främjar en långsiktig och hållbar investeringsstrategi.</w:t>
      </w:r>
      <w:r w:rsidR="00531BFF" w:rsidRPr="00EE129B">
        <w:rPr>
          <w:rFonts w:ascii="Times New Roman" w:hAnsi="Times New Roman" w:cs="Times New Roman"/>
          <w:sz w:val="22"/>
          <w:szCs w:val="22"/>
        </w:rPr>
        <w:t xml:space="preserve"> </w:t>
      </w:r>
    </w:p>
    <w:p w14:paraId="192A965F" w14:textId="77777777" w:rsidR="00E51D9F" w:rsidRPr="00EE129B" w:rsidRDefault="00E51D9F" w:rsidP="00E51D9F">
      <w:pPr>
        <w:pStyle w:val="Brdtext"/>
        <w:spacing w:before="26"/>
        <w:rPr>
          <w:rFonts w:ascii="Times New Roman" w:hAnsi="Times New Roman" w:cs="Times New Roman"/>
          <w:sz w:val="22"/>
          <w:szCs w:val="22"/>
        </w:rPr>
      </w:pPr>
    </w:p>
    <w:p w14:paraId="11D767EC"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Negativa effekter på hållbarhet övervägs och rapporteras via en tredjepartsleverantör. Om ESG-riskerna verkar avvikande, genomförs ytterligare analyser av bolaget för att i största möjliga mån påverka och minska dessa risker.</w:t>
      </w:r>
    </w:p>
    <w:p w14:paraId="0FBA7F10" w14:textId="77777777" w:rsidR="00E51D9F" w:rsidRPr="00EE129B" w:rsidRDefault="00E51D9F" w:rsidP="00E51D9F">
      <w:pPr>
        <w:pStyle w:val="Brdtext"/>
        <w:spacing w:before="26"/>
        <w:rPr>
          <w:rFonts w:ascii="Times New Roman" w:hAnsi="Times New Roman" w:cs="Times New Roman"/>
          <w:sz w:val="22"/>
          <w:szCs w:val="22"/>
        </w:rPr>
      </w:pPr>
    </w:p>
    <w:p w14:paraId="00A93061"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Fonden har också specifika exkluderingskriterier för bolag. Den avser inte att investera i verksamheter som är direkt kopplade till fossila bränslen, men det finns ingen uttrycklig ambition att helt exkludera sådana bolag. En viss exponering kan vara nödvändig för att upprätthålla en diversifierad portfölj och möjliggöra en övergång till mer hållbara energikällor. Bolag som bryter mot internationella normer och konventioner gällande mänskliga rättigheter, arbetsrätt och korruption exkluderas, vilket säkerställs genom att följa FN:s Global Compact (UNGC) och OECD:s riktlinjer för multinationella företag.</w:t>
      </w:r>
    </w:p>
    <w:p w14:paraId="75B1A91D" w14:textId="77777777" w:rsidR="00E51D9F" w:rsidRPr="00EE129B" w:rsidRDefault="00E51D9F" w:rsidP="00E51D9F">
      <w:pPr>
        <w:pStyle w:val="Brdtext"/>
        <w:spacing w:before="26"/>
        <w:rPr>
          <w:rFonts w:ascii="Times New Roman" w:hAnsi="Times New Roman" w:cs="Times New Roman"/>
          <w:sz w:val="22"/>
          <w:szCs w:val="22"/>
        </w:rPr>
      </w:pPr>
    </w:p>
    <w:p w14:paraId="3BB1C05D"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Verksamheter kopplade till förbjudna vapen, kärnvapen och krigsmaterial exkluderas om de utgör mer än 5% av omsättningen. Däremot finns ingen uttrycklig begränsning för investeringar i vapen som är kopplade till försvars- och säkerhetssyften. Företag som huvudsakligen inriktar sig på försäljning eller marknadsföring av alkohol och tobak exkluderas om de utgör mer än 5% av omsättningen, men kan inkluderas om det finns motivering och inte utgör en stor del på aggregerad nivå. Verksamheter som erbjuder alkohol och tobak som en sekundär del av deras tjänster, såsom restauranger eller e-handelsplattformar, inkluderas inte i denna exkludering.</w:t>
      </w:r>
    </w:p>
    <w:p w14:paraId="2D2D7459" w14:textId="77777777" w:rsidR="00E51D9F" w:rsidRPr="00EE129B" w:rsidRDefault="00E51D9F" w:rsidP="00E51D9F">
      <w:pPr>
        <w:pStyle w:val="Brdtext"/>
        <w:spacing w:before="26"/>
        <w:rPr>
          <w:rFonts w:ascii="Times New Roman" w:hAnsi="Times New Roman" w:cs="Times New Roman"/>
          <w:sz w:val="22"/>
          <w:szCs w:val="22"/>
        </w:rPr>
      </w:pPr>
    </w:p>
    <w:p w14:paraId="43D53587" w14:textId="77777777" w:rsidR="00E51D9F" w:rsidRPr="00EE129B" w:rsidRDefault="00E51D9F" w:rsidP="00E51D9F">
      <w:pPr>
        <w:pStyle w:val="Rubrik1"/>
        <w:spacing w:before="1"/>
        <w:rPr>
          <w:color w:val="auto"/>
          <w:sz w:val="28"/>
          <w:szCs w:val="28"/>
        </w:rPr>
      </w:pPr>
      <w:r w:rsidRPr="00EE129B">
        <w:rPr>
          <w:color w:val="auto"/>
          <w:spacing w:val="-2"/>
          <w:sz w:val="28"/>
          <w:szCs w:val="28"/>
        </w:rPr>
        <w:t>Investeringsstrategi</w:t>
      </w:r>
    </w:p>
    <w:p w14:paraId="6573428C"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Denna finansiella produkt följer en investeringsstrategi som integrerar hållbarhetsanalys i portföljförvaltarnas investeringsbeslut. Varje portföljbolag analyseras med hållbarhetsfrågor som en av de centrala faktorerna. Strategin omfattar flera steg:</w:t>
      </w:r>
    </w:p>
    <w:p w14:paraId="11CCF225" w14:textId="77777777" w:rsidR="00E51D9F" w:rsidRPr="00EE129B" w:rsidRDefault="00E51D9F" w:rsidP="000D32CF">
      <w:pPr>
        <w:pStyle w:val="Rubrik1"/>
        <w:numPr>
          <w:ilvl w:val="0"/>
          <w:numId w:val="0"/>
        </w:numPr>
        <w:ind w:left="476"/>
        <w:rPr>
          <w:rFonts w:eastAsia="Arial"/>
          <w:b w:val="0"/>
          <w:color w:val="auto"/>
          <w:sz w:val="22"/>
          <w:szCs w:val="22"/>
        </w:rPr>
      </w:pPr>
    </w:p>
    <w:p w14:paraId="7AE3A4B2" w14:textId="3E7798B5" w:rsidR="00E51D9F" w:rsidRPr="00EE129B" w:rsidRDefault="00E51D9F" w:rsidP="000D32CF">
      <w:pPr>
        <w:pStyle w:val="Brdtext"/>
        <w:numPr>
          <w:ilvl w:val="0"/>
          <w:numId w:val="5"/>
        </w:numPr>
        <w:spacing w:before="26"/>
        <w:rPr>
          <w:rFonts w:ascii="Times New Roman" w:hAnsi="Times New Roman" w:cs="Times New Roman"/>
          <w:sz w:val="22"/>
          <w:szCs w:val="22"/>
        </w:rPr>
      </w:pPr>
      <w:r w:rsidRPr="00EE129B">
        <w:rPr>
          <w:rFonts w:ascii="Times New Roman" w:hAnsi="Times New Roman" w:cs="Times New Roman"/>
          <w:sz w:val="22"/>
          <w:szCs w:val="22"/>
        </w:rPr>
        <w:t>Exkludering av bolag: Bolag som är involverade i produktion och distribution av förbjudna vapen, kärnvapen, vapen och krigsmateriel, alkohol, tobak, cannabis, pornografi, kommersiell spelverksamhet, samt de som bryter mot internationella normer och konventioner relaterade till mänskliga rättigheter, miljö, arbetsrätt eller bekämpning av korruption och mutor exkluderas. Dessa kriterier baseras på bolagens totala omsättning och deras storlek i portföljen.</w:t>
      </w:r>
    </w:p>
    <w:p w14:paraId="0A324D29" w14:textId="77777777" w:rsidR="00E51D9F" w:rsidRPr="00EE129B" w:rsidRDefault="00E51D9F" w:rsidP="00E51D9F">
      <w:pPr>
        <w:pStyle w:val="Brdtext"/>
        <w:spacing w:before="26"/>
        <w:rPr>
          <w:rFonts w:ascii="Times New Roman" w:hAnsi="Times New Roman" w:cs="Times New Roman"/>
          <w:sz w:val="22"/>
          <w:szCs w:val="22"/>
        </w:rPr>
      </w:pPr>
    </w:p>
    <w:p w14:paraId="25250A7F" w14:textId="77777777" w:rsidR="00733A59" w:rsidRPr="00EE129B" w:rsidRDefault="00733A59" w:rsidP="00E51D9F">
      <w:pPr>
        <w:pStyle w:val="Brdtext"/>
        <w:spacing w:before="26"/>
        <w:rPr>
          <w:rFonts w:ascii="Times New Roman" w:hAnsi="Times New Roman" w:cs="Times New Roman"/>
          <w:sz w:val="22"/>
          <w:szCs w:val="22"/>
        </w:rPr>
      </w:pPr>
    </w:p>
    <w:p w14:paraId="46C6C130" w14:textId="77777777" w:rsidR="00E51D9F" w:rsidRPr="00EE129B" w:rsidRDefault="00E51D9F" w:rsidP="00E51D9F">
      <w:pPr>
        <w:pStyle w:val="Brdtext"/>
        <w:numPr>
          <w:ilvl w:val="0"/>
          <w:numId w:val="5"/>
        </w:numPr>
        <w:spacing w:before="26"/>
        <w:rPr>
          <w:rFonts w:ascii="Times New Roman" w:hAnsi="Times New Roman" w:cs="Times New Roman"/>
          <w:sz w:val="22"/>
          <w:szCs w:val="22"/>
        </w:rPr>
      </w:pPr>
      <w:r w:rsidRPr="00EE129B">
        <w:rPr>
          <w:rFonts w:ascii="Times New Roman" w:hAnsi="Times New Roman" w:cs="Times New Roman"/>
          <w:sz w:val="22"/>
          <w:szCs w:val="22"/>
        </w:rPr>
        <w:t>Utvärdering av hållbarhetsrisker: Innan nya investeringar görs, utvärderas finansiellt materiella hållbarhetsrisker och potentiella negativa konsekvenser för hållbarhetsfaktorer genom en kvalitativ analys och hållbarhetsdata från tredjepartsleverantörer. Detta inkluderar en bedömning av hur dessa risker och faktorer hanteras. Resultaten från hållbarhetsutvärderingen används som underlag för investeringsbeslut.</w:t>
      </w:r>
    </w:p>
    <w:p w14:paraId="51EE171E" w14:textId="77777777" w:rsidR="00E51D9F" w:rsidRPr="00EE129B" w:rsidRDefault="00E51D9F" w:rsidP="00E51D9F">
      <w:pPr>
        <w:pStyle w:val="Brdtext"/>
        <w:spacing w:before="26"/>
        <w:rPr>
          <w:rFonts w:ascii="Times New Roman" w:hAnsi="Times New Roman" w:cs="Times New Roman"/>
          <w:sz w:val="22"/>
          <w:szCs w:val="22"/>
        </w:rPr>
      </w:pPr>
    </w:p>
    <w:p w14:paraId="35F9BB15" w14:textId="77777777" w:rsidR="00E51D9F" w:rsidRPr="00EE129B" w:rsidRDefault="00E51D9F" w:rsidP="00E51D9F">
      <w:pPr>
        <w:pStyle w:val="Brdtext"/>
        <w:numPr>
          <w:ilvl w:val="0"/>
          <w:numId w:val="5"/>
        </w:numPr>
        <w:spacing w:before="26"/>
        <w:rPr>
          <w:rFonts w:ascii="Times New Roman" w:hAnsi="Times New Roman" w:cs="Times New Roman"/>
          <w:sz w:val="22"/>
          <w:szCs w:val="22"/>
        </w:rPr>
      </w:pPr>
      <w:r w:rsidRPr="00EE129B">
        <w:rPr>
          <w:rFonts w:ascii="Times New Roman" w:hAnsi="Times New Roman" w:cs="Times New Roman"/>
          <w:sz w:val="22"/>
          <w:szCs w:val="22"/>
        </w:rPr>
        <w:t>Datainsamling: Data samlas kontinuerligt in via tredjepartsleverantörer och används som underlag för analyser. Detta inkluderar en bedömning av interna processer, datakvalitet från leverantörer och uppdateringar i regelverk. Nödvändiga åtgärder vidtas baserat på denna utvärdering för att säkerställa fortsatt överensstämmelse med fondens mål.</w:t>
      </w:r>
    </w:p>
    <w:p w14:paraId="488ADEA8" w14:textId="77777777" w:rsidR="00E51D9F" w:rsidRPr="00EE129B" w:rsidRDefault="00E51D9F" w:rsidP="00E51D9F">
      <w:pPr>
        <w:pStyle w:val="Brdtext"/>
        <w:spacing w:before="26"/>
        <w:rPr>
          <w:rFonts w:ascii="Times New Roman" w:hAnsi="Times New Roman" w:cs="Times New Roman"/>
          <w:sz w:val="22"/>
          <w:szCs w:val="22"/>
        </w:rPr>
      </w:pPr>
    </w:p>
    <w:p w14:paraId="128CBE8E" w14:textId="77777777" w:rsidR="00E51D9F" w:rsidRPr="00EE129B" w:rsidRDefault="00E51D9F" w:rsidP="00E51D9F">
      <w:pPr>
        <w:pStyle w:val="Brdtext"/>
        <w:numPr>
          <w:ilvl w:val="0"/>
          <w:numId w:val="5"/>
        </w:numPr>
        <w:spacing w:before="26"/>
        <w:rPr>
          <w:rFonts w:ascii="Times New Roman" w:hAnsi="Times New Roman" w:cs="Times New Roman"/>
          <w:sz w:val="22"/>
          <w:szCs w:val="22"/>
        </w:rPr>
      </w:pPr>
      <w:r w:rsidRPr="00EE129B">
        <w:rPr>
          <w:rFonts w:ascii="Times New Roman" w:hAnsi="Times New Roman" w:cs="Times New Roman"/>
          <w:sz w:val="22"/>
          <w:szCs w:val="22"/>
        </w:rPr>
        <w:t>Beaktande av hållbarhetsrisker vid investeringsbeslut: Vid varje investeringsbeslut beaktas hållbarhetsrisker genom en kvalitativ analys och aktiv bevakning av relevanta marknadshändelser för att identifiera långsiktiga risker och möjligheter. Negativa effekter på hållbarhet (PAI) beaktas och rapporteras via tredjepartsleverantörer. Vid avvikande ESG-risker genomförs ytterligare analyser i syfte att minimera fondens risker.</w:t>
      </w:r>
    </w:p>
    <w:p w14:paraId="3C771A2A" w14:textId="77777777" w:rsidR="00E51D9F" w:rsidRPr="00EE129B" w:rsidRDefault="00E51D9F" w:rsidP="00E51D9F">
      <w:pPr>
        <w:pStyle w:val="Brdtext"/>
        <w:spacing w:before="26"/>
        <w:rPr>
          <w:rFonts w:ascii="Times New Roman" w:hAnsi="Times New Roman" w:cs="Times New Roman"/>
          <w:sz w:val="22"/>
          <w:szCs w:val="22"/>
        </w:rPr>
      </w:pPr>
    </w:p>
    <w:p w14:paraId="40338929" w14:textId="77777777" w:rsidR="00E51D9F" w:rsidRPr="00EE129B" w:rsidRDefault="00E51D9F" w:rsidP="00E51D9F">
      <w:pPr>
        <w:pStyle w:val="Brdtext"/>
        <w:spacing w:before="26"/>
        <w:rPr>
          <w:rFonts w:ascii="Times New Roman" w:hAnsi="Times New Roman" w:cs="Times New Roman"/>
          <w:sz w:val="22"/>
          <w:szCs w:val="22"/>
        </w:rPr>
      </w:pPr>
      <w:r w:rsidRPr="00EE129B">
        <w:rPr>
          <w:rFonts w:ascii="Times New Roman" w:hAnsi="Times New Roman" w:cs="Times New Roman"/>
          <w:sz w:val="22"/>
          <w:szCs w:val="22"/>
        </w:rPr>
        <w:t>Denna investeringsstrategi främjar miljörelaterade och sociala egenskaper genom att integrera hållbarhetsrisker och överväga negativa effekter på hållbarhet vid investeringsbeslut. Fonden har ingen minimiandel för hållbara investeringar, men strävar efter att främja hållbarhet baserat på de beskrivna kriterierna och egenskaperna.</w:t>
      </w:r>
    </w:p>
    <w:p w14:paraId="1421C3D0" w14:textId="77777777" w:rsidR="00E51D9F" w:rsidRPr="00EE129B" w:rsidRDefault="00E51D9F" w:rsidP="00E51D9F">
      <w:pPr>
        <w:pStyle w:val="Rubrik1"/>
        <w:numPr>
          <w:ilvl w:val="0"/>
          <w:numId w:val="0"/>
        </w:numPr>
        <w:ind w:left="125"/>
        <w:rPr>
          <w:rFonts w:eastAsia="Arial"/>
          <w:b w:val="0"/>
          <w:bCs/>
          <w:color w:val="auto"/>
          <w:sz w:val="22"/>
          <w:szCs w:val="22"/>
        </w:rPr>
      </w:pPr>
    </w:p>
    <w:p w14:paraId="6E61B4D6" w14:textId="77777777" w:rsidR="00E51D9F" w:rsidRPr="00EE129B" w:rsidRDefault="00E51D9F" w:rsidP="00E51D9F">
      <w:pPr>
        <w:pStyle w:val="Rubrik1"/>
        <w:rPr>
          <w:color w:val="auto"/>
          <w:sz w:val="28"/>
          <w:szCs w:val="28"/>
        </w:rPr>
      </w:pPr>
      <w:r w:rsidRPr="00EE129B">
        <w:rPr>
          <w:color w:val="auto"/>
          <w:sz w:val="28"/>
          <w:szCs w:val="28"/>
        </w:rPr>
        <w:t>Andel</w:t>
      </w:r>
      <w:r w:rsidRPr="00EE129B">
        <w:rPr>
          <w:b w:val="0"/>
          <w:color w:val="auto"/>
          <w:spacing w:val="-13"/>
          <w:sz w:val="28"/>
          <w:szCs w:val="28"/>
        </w:rPr>
        <w:t xml:space="preserve"> </w:t>
      </w:r>
      <w:r w:rsidRPr="00EE129B">
        <w:rPr>
          <w:color w:val="auto"/>
          <w:sz w:val="28"/>
          <w:szCs w:val="28"/>
        </w:rPr>
        <w:t>av</w:t>
      </w:r>
      <w:r w:rsidRPr="00EE129B">
        <w:rPr>
          <w:b w:val="0"/>
          <w:color w:val="auto"/>
          <w:spacing w:val="-10"/>
          <w:sz w:val="28"/>
          <w:szCs w:val="28"/>
        </w:rPr>
        <w:t xml:space="preserve"> </w:t>
      </w:r>
      <w:r w:rsidRPr="00EE129B">
        <w:rPr>
          <w:color w:val="auto"/>
          <w:spacing w:val="-2"/>
          <w:sz w:val="28"/>
          <w:szCs w:val="28"/>
        </w:rPr>
        <w:t>investeringar</w:t>
      </w:r>
    </w:p>
    <w:p w14:paraId="35637160" w14:textId="77777777" w:rsidR="00E51D9F" w:rsidRPr="00EE129B" w:rsidRDefault="00E51D9F" w:rsidP="00E51D9F">
      <w:pPr>
        <w:pStyle w:val="Brdtext"/>
        <w:spacing w:before="3"/>
        <w:ind w:right="195"/>
        <w:jc w:val="both"/>
        <w:rPr>
          <w:rFonts w:ascii="Times New Roman" w:hAnsi="Times New Roman" w:cs="Times New Roman"/>
          <w:sz w:val="22"/>
          <w:szCs w:val="22"/>
        </w:rPr>
      </w:pPr>
      <w:r w:rsidRPr="00EE129B">
        <w:rPr>
          <w:rFonts w:ascii="Times New Roman" w:hAnsi="Times New Roman" w:cs="Times New Roman"/>
          <w:sz w:val="22"/>
          <w:szCs w:val="22"/>
        </w:rPr>
        <w:t>De</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miljörelaterade</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och</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sociala</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egenskaperna</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som</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främjas</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fonden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gäller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för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alla investeringar i portföljbolag. Beräknad är 90% av fondens tillgångar vara linjerade med miljörelaterade och sociala egenskaper som främjas och definierats av fonden. Resterande 10% kan bland annat placeringar i likviditetssyfte ingå, exempelvis fondens kassa.</w:t>
      </w:r>
    </w:p>
    <w:p w14:paraId="43013EA0" w14:textId="77777777" w:rsidR="00E51D9F" w:rsidRPr="00EE129B" w:rsidRDefault="00E51D9F" w:rsidP="00E51D9F">
      <w:pPr>
        <w:pStyle w:val="Brdtext"/>
        <w:spacing w:before="111"/>
        <w:ind w:left="0"/>
        <w:rPr>
          <w:rFonts w:ascii="Times New Roman" w:hAnsi="Times New Roman" w:cs="Times New Roman"/>
          <w:sz w:val="22"/>
          <w:szCs w:val="22"/>
        </w:rPr>
      </w:pPr>
    </w:p>
    <w:p w14:paraId="21CC564B" w14:textId="77777777" w:rsidR="00E51D9F" w:rsidRPr="00EE129B" w:rsidRDefault="00E51D9F" w:rsidP="00E51D9F">
      <w:pPr>
        <w:pStyle w:val="Rubrik1"/>
        <w:rPr>
          <w:color w:val="auto"/>
          <w:sz w:val="28"/>
          <w:szCs w:val="28"/>
        </w:rPr>
      </w:pPr>
      <w:r w:rsidRPr="00EE129B">
        <w:rPr>
          <w:color w:val="auto"/>
          <w:sz w:val="28"/>
          <w:szCs w:val="28"/>
        </w:rPr>
        <w:t>Övervakning</w:t>
      </w:r>
      <w:r w:rsidRPr="00EE129B">
        <w:rPr>
          <w:b w:val="0"/>
          <w:color w:val="auto"/>
          <w:spacing w:val="-21"/>
          <w:sz w:val="28"/>
          <w:szCs w:val="28"/>
        </w:rPr>
        <w:t xml:space="preserve"> </w:t>
      </w:r>
      <w:r w:rsidRPr="00EE129B">
        <w:rPr>
          <w:color w:val="auto"/>
          <w:sz w:val="28"/>
          <w:szCs w:val="28"/>
        </w:rPr>
        <w:t>av</w:t>
      </w:r>
      <w:r w:rsidRPr="00EE129B">
        <w:rPr>
          <w:b w:val="0"/>
          <w:color w:val="auto"/>
          <w:spacing w:val="-17"/>
          <w:sz w:val="28"/>
          <w:szCs w:val="28"/>
        </w:rPr>
        <w:t xml:space="preserve"> </w:t>
      </w:r>
      <w:r w:rsidRPr="00EE129B">
        <w:rPr>
          <w:color w:val="auto"/>
          <w:sz w:val="28"/>
          <w:szCs w:val="28"/>
        </w:rPr>
        <w:t>miljörelaterade</w:t>
      </w:r>
      <w:r w:rsidRPr="00EE129B">
        <w:rPr>
          <w:b w:val="0"/>
          <w:color w:val="auto"/>
          <w:spacing w:val="-17"/>
          <w:sz w:val="28"/>
          <w:szCs w:val="28"/>
        </w:rPr>
        <w:t xml:space="preserve"> </w:t>
      </w:r>
      <w:r w:rsidRPr="00EE129B">
        <w:rPr>
          <w:color w:val="auto"/>
          <w:sz w:val="28"/>
          <w:szCs w:val="28"/>
        </w:rPr>
        <w:t>eller</w:t>
      </w:r>
      <w:r w:rsidRPr="00EE129B">
        <w:rPr>
          <w:b w:val="0"/>
          <w:color w:val="auto"/>
          <w:spacing w:val="-20"/>
          <w:sz w:val="28"/>
          <w:szCs w:val="28"/>
        </w:rPr>
        <w:t xml:space="preserve"> </w:t>
      </w:r>
      <w:r w:rsidRPr="00EE129B">
        <w:rPr>
          <w:color w:val="auto"/>
          <w:sz w:val="28"/>
          <w:szCs w:val="28"/>
        </w:rPr>
        <w:t>sociala</w:t>
      </w:r>
      <w:r w:rsidRPr="00EE129B">
        <w:rPr>
          <w:b w:val="0"/>
          <w:color w:val="auto"/>
          <w:spacing w:val="-18"/>
          <w:sz w:val="28"/>
          <w:szCs w:val="28"/>
        </w:rPr>
        <w:t xml:space="preserve"> </w:t>
      </w:r>
      <w:r w:rsidRPr="00EE129B">
        <w:rPr>
          <w:color w:val="auto"/>
          <w:spacing w:val="-2"/>
          <w:sz w:val="28"/>
          <w:szCs w:val="28"/>
        </w:rPr>
        <w:t>egenskaper</w:t>
      </w:r>
    </w:p>
    <w:p w14:paraId="371750BD" w14:textId="77777777" w:rsidR="00E51D9F" w:rsidRPr="00EE129B" w:rsidRDefault="00E51D9F" w:rsidP="00E51D9F">
      <w:pPr>
        <w:pStyle w:val="Brdtext"/>
        <w:spacing w:before="29"/>
        <w:rPr>
          <w:rFonts w:ascii="Times New Roman" w:hAnsi="Times New Roman" w:cs="Times New Roman"/>
          <w:sz w:val="22"/>
          <w:szCs w:val="22"/>
        </w:rPr>
      </w:pPr>
      <w:r w:rsidRPr="00EE129B">
        <w:rPr>
          <w:rFonts w:ascii="Times New Roman" w:hAnsi="Times New Roman" w:cs="Times New Roman"/>
          <w:sz w:val="22"/>
          <w:szCs w:val="22"/>
        </w:rPr>
        <w:t>Fonden främjar miljö- och sociala egenskaper genom att mäta indikatorer för hållbarhet enligt EU:s "Sustainable Finance Disclosure Regulation". Dessa indikatorer inkluderar växthusgasutsläpp, biologisk mångfald, vattenanvändning, sociala förhållanden, mänskliga rättigheter och brott mot internationella normer. Investeringar granskas för hållbarhetsrisker och möjligheter, och företag som inte följer internationella normer undviks.</w:t>
      </w:r>
    </w:p>
    <w:p w14:paraId="1481462B" w14:textId="77777777" w:rsidR="00E51D9F" w:rsidRPr="00EE129B" w:rsidRDefault="00E51D9F" w:rsidP="00E51D9F">
      <w:pPr>
        <w:pStyle w:val="Brdtext"/>
        <w:spacing w:before="29"/>
        <w:rPr>
          <w:rFonts w:ascii="Times New Roman" w:hAnsi="Times New Roman" w:cs="Times New Roman"/>
          <w:sz w:val="22"/>
          <w:szCs w:val="22"/>
        </w:rPr>
      </w:pPr>
    </w:p>
    <w:p w14:paraId="3E6D9B7D" w14:textId="77777777" w:rsidR="00E51D9F" w:rsidRPr="00EE129B" w:rsidRDefault="00E51D9F" w:rsidP="00E51D9F">
      <w:pPr>
        <w:pStyle w:val="Brdtext"/>
        <w:spacing w:before="29"/>
        <w:rPr>
          <w:rFonts w:ascii="Times New Roman" w:hAnsi="Times New Roman" w:cs="Times New Roman"/>
          <w:sz w:val="22"/>
          <w:szCs w:val="22"/>
        </w:rPr>
      </w:pPr>
      <w:r w:rsidRPr="00EE129B">
        <w:rPr>
          <w:rFonts w:ascii="Times New Roman" w:hAnsi="Times New Roman" w:cs="Times New Roman"/>
          <w:sz w:val="22"/>
          <w:szCs w:val="22"/>
        </w:rPr>
        <w:t>Hållbarhetsindikatorerna mäts genom att granska hållbarhetsrisker och negativa effekter både kvalitativt och med hjälp av tredjepartsleverantörer. Företag som bryter mot internationella miljö- och sociala normer analyseras och undviks vid allvarliga överträdelser. Dessutom granskas och undviks företag med kontroversiella aktiviteter om de anses göra allvarliga överträdelser.</w:t>
      </w:r>
    </w:p>
    <w:p w14:paraId="0DF2E946" w14:textId="77777777" w:rsidR="00E51D9F" w:rsidRPr="00EE129B" w:rsidRDefault="00E51D9F" w:rsidP="00E51D9F">
      <w:pPr>
        <w:pStyle w:val="Brdtext"/>
        <w:spacing w:before="29"/>
        <w:rPr>
          <w:rFonts w:ascii="Times New Roman" w:hAnsi="Times New Roman" w:cs="Times New Roman"/>
          <w:sz w:val="22"/>
          <w:szCs w:val="22"/>
        </w:rPr>
      </w:pPr>
    </w:p>
    <w:p w14:paraId="3AEBD442" w14:textId="2C2C56A3" w:rsidR="00E51D9F" w:rsidRPr="00EE129B" w:rsidRDefault="00E51D9F" w:rsidP="00E51D9F">
      <w:pPr>
        <w:pStyle w:val="Brdtext"/>
        <w:spacing w:before="29"/>
        <w:rPr>
          <w:rFonts w:ascii="Times New Roman" w:hAnsi="Times New Roman" w:cs="Times New Roman"/>
          <w:sz w:val="22"/>
          <w:szCs w:val="22"/>
        </w:rPr>
      </w:pPr>
      <w:r w:rsidRPr="00EE129B">
        <w:rPr>
          <w:rFonts w:ascii="Times New Roman" w:hAnsi="Times New Roman" w:cs="Times New Roman"/>
          <w:sz w:val="22"/>
          <w:szCs w:val="22"/>
        </w:rPr>
        <w:t>För att säkerställa att fonden främjar miljö- och sociala egenskaper, beaktas de definierade exkluderingskriterierna under hela investeringsprocessen. Dessa kriterier fungerar som vägledande principer för att undvika investeringar i bolag som inte uppfyller fondens hållbarhetsstandarder. Genom att konsekvent tillämpa dessa kriterier kan fonden effektivt främja hållbara och ansvarsfulla investeringar.</w:t>
      </w:r>
    </w:p>
    <w:p w14:paraId="122EE5A3" w14:textId="1326AAA2" w:rsidR="00E51D9F" w:rsidRPr="00EE129B" w:rsidRDefault="00E51D9F" w:rsidP="00E51D9F">
      <w:pPr>
        <w:spacing w:after="160" w:line="278" w:lineRule="auto"/>
        <w:ind w:left="0" w:right="0" w:firstLine="0"/>
        <w:jc w:val="left"/>
        <w:rPr>
          <w:rFonts w:eastAsia="Arial"/>
          <w:color w:val="auto"/>
          <w:kern w:val="0"/>
          <w:szCs w:val="22"/>
          <w:lang w:eastAsia="en-US"/>
          <w14:ligatures w14:val="none"/>
        </w:rPr>
      </w:pPr>
      <w:r w:rsidRPr="00EE129B">
        <w:rPr>
          <w:color w:val="auto"/>
          <w:szCs w:val="22"/>
        </w:rPr>
        <w:br w:type="page"/>
      </w:r>
    </w:p>
    <w:p w14:paraId="3362B676" w14:textId="77777777" w:rsidR="00A45826" w:rsidRPr="00EE129B" w:rsidRDefault="00A45826" w:rsidP="00A45826">
      <w:pPr>
        <w:pStyle w:val="Rubrik1"/>
        <w:numPr>
          <w:ilvl w:val="0"/>
          <w:numId w:val="0"/>
        </w:numPr>
        <w:ind w:left="125"/>
        <w:rPr>
          <w:color w:val="auto"/>
          <w:sz w:val="28"/>
          <w:szCs w:val="28"/>
        </w:rPr>
      </w:pPr>
    </w:p>
    <w:p w14:paraId="5BF6AE6F" w14:textId="697E7531" w:rsidR="00E51D9F" w:rsidRPr="00EE129B" w:rsidRDefault="00E51D9F" w:rsidP="00E51D9F">
      <w:pPr>
        <w:pStyle w:val="Rubrik1"/>
        <w:rPr>
          <w:color w:val="auto"/>
          <w:sz w:val="28"/>
          <w:szCs w:val="28"/>
        </w:rPr>
      </w:pPr>
      <w:r w:rsidRPr="00EE129B">
        <w:rPr>
          <w:color w:val="auto"/>
          <w:spacing w:val="-2"/>
          <w:sz w:val="28"/>
          <w:szCs w:val="28"/>
        </w:rPr>
        <w:t>Metoder</w:t>
      </w:r>
    </w:p>
    <w:p w14:paraId="6F4C9478" w14:textId="77777777" w:rsidR="00E51D9F" w:rsidRPr="00EE129B" w:rsidRDefault="00E51D9F" w:rsidP="00E51D9F">
      <w:pPr>
        <w:pStyle w:val="Brdtext"/>
        <w:spacing w:before="6"/>
        <w:rPr>
          <w:rFonts w:ascii="Times New Roman" w:hAnsi="Times New Roman" w:cs="Times New Roman"/>
          <w:spacing w:val="-2"/>
          <w:sz w:val="22"/>
          <w:szCs w:val="22"/>
        </w:rPr>
      </w:pPr>
      <w:r w:rsidRPr="00EE129B">
        <w:rPr>
          <w:rFonts w:ascii="Times New Roman" w:hAnsi="Times New Roman" w:cs="Times New Roman"/>
          <w:sz w:val="22"/>
          <w:szCs w:val="22"/>
        </w:rPr>
        <w:t>Fondförvaltaren tillsammans med ISEC utövar</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en</w:t>
      </w:r>
      <w:r w:rsidRPr="00EE129B">
        <w:rPr>
          <w:rFonts w:ascii="Times New Roman" w:hAnsi="Times New Roman" w:cs="Times New Roman"/>
          <w:spacing w:val="-8"/>
          <w:sz w:val="22"/>
          <w:szCs w:val="22"/>
        </w:rPr>
        <w:t xml:space="preserve"> </w:t>
      </w:r>
      <w:r w:rsidRPr="00EE129B">
        <w:rPr>
          <w:rFonts w:ascii="Times New Roman" w:hAnsi="Times New Roman" w:cs="Times New Roman"/>
          <w:sz w:val="22"/>
          <w:szCs w:val="22"/>
        </w:rPr>
        <w:t>kontinuerlig</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övervakning</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av fonden</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 xml:space="preserve">och säkerställande av främjandet av de utvalda hållbarhetsegenskaperna och också hur integreringen samt beaktandet av de huvudsakliga negativa konsekvenserna för hållbarhetsfaktorer som angetts i den obligatoriska Artikel 8 bilagan för </w:t>
      </w:r>
      <w:r w:rsidRPr="00EE129B">
        <w:rPr>
          <w:rFonts w:ascii="Times New Roman" w:hAnsi="Times New Roman" w:cs="Times New Roman"/>
          <w:spacing w:val="-2"/>
          <w:sz w:val="22"/>
          <w:szCs w:val="22"/>
        </w:rPr>
        <w:t xml:space="preserve">fonden. </w:t>
      </w:r>
    </w:p>
    <w:p w14:paraId="62869B4E" w14:textId="77777777" w:rsidR="00E51D9F" w:rsidRPr="00EE129B" w:rsidRDefault="00E51D9F" w:rsidP="00E51D9F">
      <w:pPr>
        <w:pStyle w:val="Brdtext"/>
        <w:spacing w:before="6"/>
        <w:rPr>
          <w:rFonts w:ascii="Times New Roman" w:hAnsi="Times New Roman" w:cs="Times New Roman"/>
          <w:spacing w:val="-2"/>
          <w:sz w:val="22"/>
          <w:szCs w:val="22"/>
        </w:rPr>
      </w:pPr>
    </w:p>
    <w:p w14:paraId="7D864C3E" w14:textId="77777777" w:rsidR="00E51D9F" w:rsidRPr="00EE129B" w:rsidRDefault="00E51D9F" w:rsidP="00E51D9F">
      <w:pPr>
        <w:pStyle w:val="Brdtext"/>
        <w:spacing w:before="6"/>
        <w:rPr>
          <w:rFonts w:ascii="Times New Roman" w:hAnsi="Times New Roman" w:cs="Times New Roman"/>
          <w:spacing w:val="-2"/>
          <w:sz w:val="22"/>
          <w:szCs w:val="22"/>
        </w:rPr>
      </w:pPr>
    </w:p>
    <w:p w14:paraId="2427E036" w14:textId="77777777" w:rsidR="00E51D9F" w:rsidRPr="00EE129B" w:rsidRDefault="00E51D9F" w:rsidP="00E51D9F">
      <w:pPr>
        <w:pStyle w:val="Brdtext"/>
        <w:spacing w:before="93"/>
        <w:ind w:right="195"/>
        <w:rPr>
          <w:rFonts w:ascii="Times New Roman" w:hAnsi="Times New Roman" w:cs="Times New Roman"/>
          <w:sz w:val="22"/>
          <w:szCs w:val="22"/>
        </w:rPr>
      </w:pPr>
      <w:r w:rsidRPr="00EE129B">
        <w:rPr>
          <w:rFonts w:ascii="Times New Roman" w:hAnsi="Times New Roman" w:cs="Times New Roman"/>
          <w:sz w:val="22"/>
          <w:szCs w:val="22"/>
        </w:rPr>
        <w:t>För övervakning av den hållbarhetsrelaterade utvecklingen av fondportföljer används standardiserade checklistor och mallar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för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hållbarhetsanalys</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och</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vidare</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dokumentation av</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resultatet</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det</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som</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täcker hållbarhetsrelaterade risker och möjligheter för att säkerställa konsekvens, kvalitet och god</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riskhantering i varje steg i investeringsprocessen,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inklusive ägandet.</w:t>
      </w:r>
    </w:p>
    <w:p w14:paraId="28D12A7F" w14:textId="77777777" w:rsidR="00E51D9F" w:rsidRPr="00EE129B" w:rsidRDefault="00E51D9F" w:rsidP="00E51D9F">
      <w:pPr>
        <w:pStyle w:val="Brdtext"/>
        <w:spacing w:before="1"/>
        <w:ind w:right="156"/>
        <w:rPr>
          <w:rFonts w:ascii="Times New Roman" w:hAnsi="Times New Roman" w:cs="Times New Roman"/>
          <w:sz w:val="22"/>
          <w:szCs w:val="22"/>
        </w:rPr>
      </w:pPr>
    </w:p>
    <w:p w14:paraId="1EF27522" w14:textId="3B5AF270" w:rsidR="00E51D9F" w:rsidRDefault="00E51D9F" w:rsidP="00EE129B">
      <w:pPr>
        <w:pStyle w:val="Brdtext"/>
        <w:spacing w:before="1"/>
        <w:ind w:right="156"/>
        <w:rPr>
          <w:rFonts w:ascii="Times New Roman" w:hAnsi="Times New Roman" w:cs="Times New Roman"/>
          <w:sz w:val="22"/>
          <w:szCs w:val="22"/>
        </w:rPr>
      </w:pPr>
      <w:r w:rsidRPr="00EE129B">
        <w:rPr>
          <w:rFonts w:ascii="Times New Roman" w:hAnsi="Times New Roman" w:cs="Times New Roman"/>
          <w:sz w:val="22"/>
          <w:szCs w:val="22"/>
        </w:rPr>
        <w:t>Genom att regelbundet ladda</w:t>
      </w:r>
      <w:r w:rsidRPr="00EE129B">
        <w:rPr>
          <w:rFonts w:ascii="Times New Roman" w:hAnsi="Times New Roman" w:cs="Times New Roman"/>
          <w:spacing w:val="-4"/>
          <w:sz w:val="22"/>
          <w:szCs w:val="22"/>
        </w:rPr>
        <w:t xml:space="preserve"> </w:t>
      </w:r>
      <w:r w:rsidRPr="00EE129B">
        <w:rPr>
          <w:rFonts w:ascii="Times New Roman" w:hAnsi="Times New Roman" w:cs="Times New Roman"/>
          <w:sz w:val="22"/>
          <w:szCs w:val="22"/>
        </w:rPr>
        <w:t>upp fondportföljens data i</w:t>
      </w:r>
      <w:r w:rsidRPr="00EE129B">
        <w:rPr>
          <w:rFonts w:ascii="Times New Roman" w:hAnsi="Times New Roman" w:cs="Times New Roman"/>
          <w:spacing w:val="-5"/>
          <w:sz w:val="22"/>
          <w:szCs w:val="22"/>
        </w:rPr>
        <w:t xml:space="preserve"> </w:t>
      </w:r>
      <w:r w:rsidRPr="00EE129B">
        <w:rPr>
          <w:rFonts w:ascii="Times New Roman" w:hAnsi="Times New Roman" w:cs="Times New Roman"/>
          <w:sz w:val="22"/>
          <w:szCs w:val="22"/>
        </w:rPr>
        <w:t>dedikerade system för ESG- databeräkningar, säkerställs regelefterlevnad, mätande av hur fondens investeringar</w:t>
      </w:r>
      <w:r w:rsidRPr="00EE129B">
        <w:rPr>
          <w:rFonts w:ascii="Times New Roman" w:hAnsi="Times New Roman" w:cs="Times New Roman"/>
          <w:spacing w:val="40"/>
          <w:sz w:val="22"/>
          <w:szCs w:val="22"/>
        </w:rPr>
        <w:t xml:space="preserve"> </w:t>
      </w:r>
      <w:r w:rsidRPr="00EE129B">
        <w:rPr>
          <w:rFonts w:ascii="Times New Roman" w:hAnsi="Times New Roman" w:cs="Times New Roman"/>
          <w:sz w:val="22"/>
          <w:szCs w:val="22"/>
        </w:rPr>
        <w:t>ser ut från en hållbarhetsynvinkel och</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även</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hur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fonden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från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ett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hållbarhetsperspektiv</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utvecklas</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över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tiden.</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Detta</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går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att genomföra eftersom hållbarhetsdata för fondportföljen också lagras i samband med varje mättillfälle.</w:t>
      </w:r>
    </w:p>
    <w:p w14:paraId="2767AFB3" w14:textId="77777777" w:rsidR="00EE129B" w:rsidRPr="00EE129B" w:rsidRDefault="00EE129B" w:rsidP="00EE129B">
      <w:pPr>
        <w:pStyle w:val="Brdtext"/>
        <w:spacing w:before="1"/>
        <w:ind w:left="0" w:right="156"/>
        <w:rPr>
          <w:rFonts w:ascii="Times New Roman" w:hAnsi="Times New Roman" w:cs="Times New Roman"/>
          <w:sz w:val="22"/>
          <w:szCs w:val="22"/>
        </w:rPr>
      </w:pPr>
    </w:p>
    <w:p w14:paraId="56844BED" w14:textId="77777777" w:rsidR="00E51D9F" w:rsidRPr="00EE129B" w:rsidRDefault="00E51D9F" w:rsidP="00E51D9F">
      <w:pPr>
        <w:pStyle w:val="Rubrik1"/>
        <w:spacing w:before="1"/>
        <w:rPr>
          <w:color w:val="auto"/>
          <w:sz w:val="28"/>
          <w:szCs w:val="28"/>
        </w:rPr>
      </w:pPr>
      <w:r w:rsidRPr="00EE129B">
        <w:rPr>
          <w:color w:val="auto"/>
          <w:sz w:val="28"/>
          <w:szCs w:val="28"/>
        </w:rPr>
        <w:t>Datakällor</w:t>
      </w:r>
      <w:r w:rsidRPr="00EE129B">
        <w:rPr>
          <w:b w:val="0"/>
          <w:color w:val="auto"/>
          <w:spacing w:val="-15"/>
          <w:sz w:val="28"/>
          <w:szCs w:val="28"/>
        </w:rPr>
        <w:t xml:space="preserve"> </w:t>
      </w:r>
      <w:r w:rsidRPr="00EE129B">
        <w:rPr>
          <w:color w:val="auto"/>
          <w:sz w:val="28"/>
          <w:szCs w:val="28"/>
        </w:rPr>
        <w:t>och</w:t>
      </w:r>
      <w:r w:rsidRPr="00EE129B">
        <w:rPr>
          <w:b w:val="0"/>
          <w:color w:val="auto"/>
          <w:spacing w:val="-14"/>
          <w:sz w:val="28"/>
          <w:szCs w:val="28"/>
        </w:rPr>
        <w:t xml:space="preserve"> </w:t>
      </w:r>
      <w:r w:rsidRPr="00EE129B">
        <w:rPr>
          <w:color w:val="auto"/>
          <w:spacing w:val="-2"/>
          <w:sz w:val="28"/>
          <w:szCs w:val="28"/>
        </w:rPr>
        <w:t>databehandling</w:t>
      </w:r>
    </w:p>
    <w:p w14:paraId="2C61B43E" w14:textId="77777777" w:rsidR="00E51D9F" w:rsidRPr="00EE129B" w:rsidRDefault="00E51D9F" w:rsidP="00E51D9F">
      <w:pPr>
        <w:pStyle w:val="Brdtext"/>
        <w:spacing w:before="6"/>
        <w:ind w:right="156"/>
        <w:rPr>
          <w:rFonts w:ascii="Times New Roman" w:hAnsi="Times New Roman" w:cs="Times New Roman"/>
          <w:sz w:val="22"/>
          <w:szCs w:val="22"/>
        </w:rPr>
      </w:pPr>
      <w:r w:rsidRPr="00EE129B">
        <w:rPr>
          <w:rFonts w:ascii="Times New Roman" w:hAnsi="Times New Roman" w:cs="Times New Roman"/>
          <w:sz w:val="22"/>
          <w:szCs w:val="22"/>
        </w:rPr>
        <w:t>ISEC använder en extern leverantör av ESG-data för att bedöma miljörelaterade</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och/eller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sociala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egenskaper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som</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fonden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främjar,</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som</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i</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sin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tur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förlitar sig på ytterligare underleverantörer enligt det avtal ISEC har tecknat med leverantören. Leverantören har valts ut efter en inledande genomlysning av potentiella leverantörer av ESG-data och utvärdering sker årligen för att tillse att en godtagbar kvalitet på levererade data upprätthålls. I</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viss</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mån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inhämtar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även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portföljförvaltaren</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uppgifter</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direkt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från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portföljbolag och potentiella investeringsobjekt.</w:t>
      </w:r>
    </w:p>
    <w:p w14:paraId="3B4C6CA4" w14:textId="77777777" w:rsidR="00E51D9F" w:rsidRPr="00EE129B" w:rsidRDefault="00E51D9F" w:rsidP="00E51D9F">
      <w:pPr>
        <w:pStyle w:val="Brdtext"/>
        <w:spacing w:before="3" w:line="237" w:lineRule="auto"/>
        <w:rPr>
          <w:rFonts w:ascii="Times New Roman" w:hAnsi="Times New Roman" w:cs="Times New Roman"/>
          <w:sz w:val="22"/>
          <w:szCs w:val="22"/>
        </w:rPr>
      </w:pPr>
    </w:p>
    <w:p w14:paraId="7DF0994E" w14:textId="77777777" w:rsidR="00E51D9F" w:rsidRPr="00EE129B" w:rsidRDefault="00E51D9F" w:rsidP="00E51D9F">
      <w:pPr>
        <w:pStyle w:val="Brdtext"/>
        <w:spacing w:before="3"/>
        <w:ind w:right="156"/>
        <w:rPr>
          <w:rFonts w:ascii="Times New Roman" w:hAnsi="Times New Roman" w:cs="Times New Roman"/>
          <w:spacing w:val="-3"/>
          <w:sz w:val="22"/>
          <w:szCs w:val="22"/>
        </w:rPr>
      </w:pPr>
      <w:r w:rsidRPr="00EE129B">
        <w:rPr>
          <w:rFonts w:ascii="Times New Roman" w:hAnsi="Times New Roman" w:cs="Times New Roman"/>
          <w:sz w:val="22"/>
          <w:szCs w:val="22"/>
        </w:rPr>
        <w:t>Hela fondens innehav laddas kvartalsvis upp via ett gränssnitt (”API”) i portföljsystemet Secura till externa dataleverantören som levererar tillbaka rapporter avseende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hållbarhet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för</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fonden</w:t>
      </w:r>
      <w:r w:rsidRPr="00EE129B">
        <w:rPr>
          <w:rFonts w:ascii="Times New Roman" w:hAnsi="Times New Roman" w:cs="Times New Roman"/>
          <w:spacing w:val="-3"/>
          <w:sz w:val="22"/>
          <w:szCs w:val="22"/>
        </w:rPr>
        <w:t xml:space="preserve">. </w:t>
      </w:r>
    </w:p>
    <w:p w14:paraId="12363B5A" w14:textId="77777777" w:rsidR="00E51D9F" w:rsidRPr="00EE129B" w:rsidRDefault="00E51D9F" w:rsidP="00E51D9F">
      <w:pPr>
        <w:pStyle w:val="Brdtext"/>
        <w:spacing w:before="3"/>
        <w:ind w:right="156"/>
        <w:rPr>
          <w:rFonts w:ascii="Times New Roman" w:hAnsi="Times New Roman" w:cs="Times New Roman"/>
          <w:spacing w:val="-3"/>
          <w:sz w:val="22"/>
          <w:szCs w:val="22"/>
        </w:rPr>
      </w:pPr>
    </w:p>
    <w:p w14:paraId="458FA278" w14:textId="77777777" w:rsidR="00E51D9F" w:rsidRPr="00EE129B" w:rsidRDefault="00E51D9F" w:rsidP="00E51D9F">
      <w:pPr>
        <w:pStyle w:val="Brdtext"/>
        <w:spacing w:before="3"/>
        <w:ind w:right="156"/>
        <w:rPr>
          <w:rFonts w:ascii="Times New Roman" w:hAnsi="Times New Roman" w:cs="Times New Roman"/>
          <w:spacing w:val="-3"/>
          <w:sz w:val="22"/>
          <w:szCs w:val="22"/>
        </w:rPr>
      </w:pPr>
      <w:r w:rsidRPr="00EE129B">
        <w:rPr>
          <w:rFonts w:ascii="Times New Roman" w:hAnsi="Times New Roman" w:cs="Times New Roman"/>
          <w:spacing w:val="-3"/>
          <w:sz w:val="22"/>
          <w:szCs w:val="22"/>
        </w:rPr>
        <w:t xml:space="preserve">Fonden är inte begränsad att använda en viss specifik dataleverantör, metoden och rutinerna är densamma oavsett val av extern dataleverantör. </w:t>
      </w:r>
    </w:p>
    <w:p w14:paraId="3258A6F8" w14:textId="77777777" w:rsidR="00E51D9F" w:rsidRPr="00EE129B" w:rsidRDefault="00E51D9F" w:rsidP="00E51D9F">
      <w:pPr>
        <w:pStyle w:val="Brdtext"/>
        <w:spacing w:before="15"/>
        <w:ind w:left="0"/>
        <w:rPr>
          <w:rFonts w:ascii="Times New Roman" w:hAnsi="Times New Roman" w:cs="Times New Roman"/>
          <w:sz w:val="22"/>
          <w:szCs w:val="22"/>
        </w:rPr>
      </w:pPr>
    </w:p>
    <w:p w14:paraId="0E0A359D" w14:textId="77777777" w:rsidR="00E51D9F" w:rsidRPr="00EE129B" w:rsidRDefault="00E51D9F" w:rsidP="00E51D9F">
      <w:pPr>
        <w:pStyle w:val="Rubrik1"/>
        <w:rPr>
          <w:color w:val="auto"/>
          <w:sz w:val="28"/>
          <w:szCs w:val="28"/>
        </w:rPr>
      </w:pPr>
      <w:r w:rsidRPr="00EE129B">
        <w:rPr>
          <w:color w:val="auto"/>
          <w:sz w:val="28"/>
          <w:szCs w:val="28"/>
        </w:rPr>
        <w:t>Begränsningar</w:t>
      </w:r>
      <w:r w:rsidRPr="00EE129B">
        <w:rPr>
          <w:b w:val="0"/>
          <w:color w:val="auto"/>
          <w:spacing w:val="-18"/>
          <w:sz w:val="28"/>
          <w:szCs w:val="28"/>
        </w:rPr>
        <w:t xml:space="preserve"> </w:t>
      </w:r>
      <w:r w:rsidRPr="00EE129B">
        <w:rPr>
          <w:color w:val="auto"/>
          <w:sz w:val="28"/>
          <w:szCs w:val="28"/>
        </w:rPr>
        <w:t>för</w:t>
      </w:r>
      <w:r w:rsidRPr="00EE129B">
        <w:rPr>
          <w:b w:val="0"/>
          <w:color w:val="auto"/>
          <w:spacing w:val="-15"/>
          <w:sz w:val="28"/>
          <w:szCs w:val="28"/>
        </w:rPr>
        <w:t xml:space="preserve"> </w:t>
      </w:r>
      <w:r w:rsidRPr="00EE129B">
        <w:rPr>
          <w:color w:val="auto"/>
          <w:sz w:val="28"/>
          <w:szCs w:val="28"/>
        </w:rPr>
        <w:t>metoder</w:t>
      </w:r>
      <w:r w:rsidRPr="00EE129B">
        <w:rPr>
          <w:b w:val="0"/>
          <w:color w:val="auto"/>
          <w:spacing w:val="-14"/>
          <w:sz w:val="28"/>
          <w:szCs w:val="28"/>
        </w:rPr>
        <w:t xml:space="preserve"> </w:t>
      </w:r>
      <w:r w:rsidRPr="00EE129B">
        <w:rPr>
          <w:color w:val="auto"/>
          <w:sz w:val="28"/>
          <w:szCs w:val="28"/>
        </w:rPr>
        <w:t>och</w:t>
      </w:r>
      <w:r w:rsidRPr="00EE129B">
        <w:rPr>
          <w:b w:val="0"/>
          <w:color w:val="auto"/>
          <w:spacing w:val="-20"/>
          <w:sz w:val="28"/>
          <w:szCs w:val="28"/>
        </w:rPr>
        <w:t xml:space="preserve"> </w:t>
      </w:r>
      <w:r w:rsidRPr="00EE129B">
        <w:rPr>
          <w:color w:val="auto"/>
          <w:spacing w:val="-4"/>
          <w:sz w:val="28"/>
          <w:szCs w:val="28"/>
        </w:rPr>
        <w:t>data</w:t>
      </w:r>
    </w:p>
    <w:p w14:paraId="38B78062" w14:textId="77777777" w:rsidR="00E51D9F" w:rsidRPr="00EE129B" w:rsidRDefault="00E51D9F" w:rsidP="00E51D9F">
      <w:pPr>
        <w:pStyle w:val="Brdtext"/>
        <w:spacing w:before="6"/>
        <w:ind w:right="156"/>
        <w:rPr>
          <w:rFonts w:ascii="Times New Roman" w:hAnsi="Times New Roman" w:cs="Times New Roman"/>
          <w:sz w:val="22"/>
          <w:szCs w:val="22"/>
        </w:rPr>
      </w:pPr>
      <w:r w:rsidRPr="00EE129B">
        <w:rPr>
          <w:rFonts w:ascii="Times New Roman" w:hAnsi="Times New Roman" w:cs="Times New Roman"/>
          <w:sz w:val="22"/>
          <w:szCs w:val="22"/>
        </w:rPr>
        <w:t>Det är allmänt känt att olika leverantörer av ESG-data ofta ger olika uppskattningar av ESG-relaterade data, vilket kan vara problematiskt. Förhoppningen är att EU:s taxonomiförordning kommer att förbättra precisionen i dessa uppskattningar. Det bedöms dock att den nuvarande osäkerheten i datakvaliteten inte är så stor att den negativt påverkar kvaliteten på de investeringsbeslut som fattas baserat på data om miljörelaterade eller sociala egenskaper som fonden syftar till att främja.</w:t>
      </w:r>
    </w:p>
    <w:p w14:paraId="72C4F9DA" w14:textId="77777777" w:rsidR="00E51D9F" w:rsidRPr="00EE129B" w:rsidRDefault="00E51D9F" w:rsidP="00E51D9F">
      <w:pPr>
        <w:pStyle w:val="Brdtext"/>
        <w:spacing w:before="6"/>
        <w:ind w:right="156"/>
        <w:rPr>
          <w:rFonts w:ascii="Times New Roman" w:hAnsi="Times New Roman" w:cs="Times New Roman"/>
          <w:sz w:val="22"/>
          <w:szCs w:val="22"/>
        </w:rPr>
      </w:pPr>
    </w:p>
    <w:p w14:paraId="09B220A0" w14:textId="77777777" w:rsidR="00E51D9F" w:rsidRPr="00EE129B" w:rsidRDefault="00E51D9F" w:rsidP="00E51D9F">
      <w:pPr>
        <w:pStyle w:val="Brdtext"/>
        <w:spacing w:before="6"/>
        <w:ind w:right="156"/>
        <w:rPr>
          <w:rFonts w:ascii="Times New Roman" w:hAnsi="Times New Roman" w:cs="Times New Roman"/>
          <w:sz w:val="22"/>
          <w:szCs w:val="22"/>
        </w:rPr>
      </w:pPr>
      <w:r w:rsidRPr="00EE129B">
        <w:rPr>
          <w:rFonts w:ascii="Times New Roman" w:hAnsi="Times New Roman" w:cs="Times New Roman"/>
          <w:sz w:val="22"/>
          <w:szCs w:val="22"/>
        </w:rPr>
        <w:t>Rapporterings- och transparenskraven varierar också beroende på var portföljbolaget är geografiskt beläget och om det är en noterad eller onoterad tillgång i fondportföljen.</w:t>
      </w:r>
    </w:p>
    <w:p w14:paraId="119A5A7E" w14:textId="77777777" w:rsidR="00E51D9F" w:rsidRPr="00EE129B" w:rsidRDefault="00E51D9F" w:rsidP="00E51D9F">
      <w:pPr>
        <w:pStyle w:val="Brdtext"/>
        <w:spacing w:before="6"/>
        <w:ind w:right="156"/>
        <w:rPr>
          <w:rFonts w:ascii="Times New Roman" w:hAnsi="Times New Roman" w:cs="Times New Roman"/>
          <w:sz w:val="22"/>
          <w:szCs w:val="22"/>
        </w:rPr>
      </w:pPr>
    </w:p>
    <w:p w14:paraId="698E485F" w14:textId="77777777" w:rsidR="00E51D9F" w:rsidRPr="00EE129B" w:rsidRDefault="00E51D9F" w:rsidP="00E51D9F">
      <w:pPr>
        <w:pStyle w:val="Brdtext"/>
        <w:spacing w:before="6"/>
        <w:ind w:right="156"/>
        <w:rPr>
          <w:rFonts w:ascii="Times New Roman" w:hAnsi="Times New Roman" w:cs="Times New Roman"/>
          <w:sz w:val="22"/>
          <w:szCs w:val="22"/>
        </w:rPr>
        <w:sectPr w:rsidR="00E51D9F" w:rsidRPr="00EE129B" w:rsidSect="00A45826">
          <w:pgSz w:w="11910" w:h="16840"/>
          <w:pgMar w:top="1420" w:right="1300" w:bottom="280" w:left="940" w:header="706" w:footer="1134" w:gutter="0"/>
          <w:cols w:space="720"/>
          <w:docGrid w:linePitch="299"/>
        </w:sectPr>
      </w:pPr>
      <w:r w:rsidRPr="00EE129B">
        <w:rPr>
          <w:rFonts w:ascii="Times New Roman" w:hAnsi="Times New Roman" w:cs="Times New Roman"/>
          <w:sz w:val="22"/>
          <w:szCs w:val="22"/>
        </w:rPr>
        <w:t>Det kan även finnas en fördröjning i data, vilket innebär att informationen som portföljförvaltaren baserar sina bedömningar på kan ha förändrats.</w:t>
      </w:r>
    </w:p>
    <w:p w14:paraId="127B51FC" w14:textId="77777777" w:rsidR="00E51D9F" w:rsidRPr="00EE129B" w:rsidRDefault="00E51D9F" w:rsidP="00E51D9F">
      <w:pPr>
        <w:pStyle w:val="Rubrik1"/>
        <w:spacing w:before="91"/>
        <w:rPr>
          <w:color w:val="auto"/>
          <w:sz w:val="28"/>
          <w:szCs w:val="28"/>
        </w:rPr>
      </w:pPr>
      <w:r w:rsidRPr="00EE129B">
        <w:rPr>
          <w:color w:val="auto"/>
          <w:sz w:val="28"/>
          <w:szCs w:val="28"/>
        </w:rPr>
        <w:lastRenderedPageBreak/>
        <w:t>Due</w:t>
      </w:r>
      <w:r w:rsidRPr="00EE129B">
        <w:rPr>
          <w:b w:val="0"/>
          <w:color w:val="auto"/>
          <w:spacing w:val="-12"/>
          <w:sz w:val="28"/>
          <w:szCs w:val="28"/>
        </w:rPr>
        <w:t xml:space="preserve"> </w:t>
      </w:r>
      <w:r w:rsidRPr="00EE129B">
        <w:rPr>
          <w:color w:val="auto"/>
          <w:spacing w:val="-2"/>
          <w:sz w:val="28"/>
          <w:szCs w:val="28"/>
        </w:rPr>
        <w:t>diligence</w:t>
      </w:r>
    </w:p>
    <w:p w14:paraId="2004F27C" w14:textId="77777777" w:rsidR="00E51D9F" w:rsidRPr="00EE129B" w:rsidRDefault="00E51D9F" w:rsidP="00E51D9F">
      <w:pPr>
        <w:pStyle w:val="Brdtext"/>
        <w:spacing w:before="5" w:line="275" w:lineRule="exact"/>
        <w:rPr>
          <w:rFonts w:ascii="Times New Roman" w:hAnsi="Times New Roman" w:cs="Times New Roman"/>
          <w:sz w:val="22"/>
          <w:szCs w:val="22"/>
        </w:rPr>
      </w:pPr>
      <w:r w:rsidRPr="00EE129B">
        <w:rPr>
          <w:rFonts w:ascii="Times New Roman" w:hAnsi="Times New Roman" w:cs="Times New Roman"/>
          <w:sz w:val="22"/>
          <w:szCs w:val="22"/>
        </w:rPr>
        <w:t>Inför</w:t>
      </w:r>
      <w:r w:rsidRPr="00EE129B">
        <w:rPr>
          <w:rFonts w:ascii="Times New Roman" w:hAnsi="Times New Roman" w:cs="Times New Roman"/>
          <w:spacing w:val="-5"/>
          <w:sz w:val="22"/>
          <w:szCs w:val="22"/>
        </w:rPr>
        <w:t xml:space="preserve"> </w:t>
      </w:r>
      <w:r w:rsidRPr="00EE129B">
        <w:rPr>
          <w:rFonts w:ascii="Times New Roman" w:hAnsi="Times New Roman" w:cs="Times New Roman"/>
          <w:sz w:val="22"/>
          <w:szCs w:val="22"/>
        </w:rPr>
        <w:t>uppstarten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ny</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fond</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så</w:t>
      </w:r>
      <w:r w:rsidRPr="00EE129B">
        <w:rPr>
          <w:rFonts w:ascii="Times New Roman" w:hAnsi="Times New Roman" w:cs="Times New Roman"/>
          <w:spacing w:val="-5"/>
          <w:sz w:val="22"/>
          <w:szCs w:val="22"/>
        </w:rPr>
        <w:t xml:space="preserve"> </w:t>
      </w:r>
      <w:r w:rsidRPr="00EE129B">
        <w:rPr>
          <w:rFonts w:ascii="Times New Roman" w:hAnsi="Times New Roman" w:cs="Times New Roman"/>
          <w:sz w:val="22"/>
          <w:szCs w:val="22"/>
        </w:rPr>
        <w:t>genomförs</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alltid</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initial</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due</w:t>
      </w:r>
      <w:r w:rsidRPr="00EE129B">
        <w:rPr>
          <w:rFonts w:ascii="Times New Roman" w:hAnsi="Times New Roman" w:cs="Times New Roman"/>
          <w:spacing w:val="-9"/>
          <w:sz w:val="22"/>
          <w:szCs w:val="22"/>
        </w:rPr>
        <w:t xml:space="preserve"> </w:t>
      </w:r>
      <w:r w:rsidRPr="00EE129B">
        <w:rPr>
          <w:rFonts w:ascii="Times New Roman" w:hAnsi="Times New Roman" w:cs="Times New Roman"/>
          <w:sz w:val="22"/>
          <w:szCs w:val="22"/>
        </w:rPr>
        <w:t>diligence</w:t>
      </w:r>
      <w:r w:rsidRPr="00EE129B">
        <w:rPr>
          <w:rFonts w:ascii="Times New Roman" w:hAnsi="Times New Roman" w:cs="Times New Roman"/>
          <w:spacing w:val="-10"/>
          <w:sz w:val="22"/>
          <w:szCs w:val="22"/>
        </w:rPr>
        <w:t xml:space="preserve"> </w:t>
      </w:r>
      <w:r w:rsidRPr="00EE129B">
        <w:rPr>
          <w:rFonts w:ascii="Times New Roman" w:hAnsi="Times New Roman" w:cs="Times New Roman"/>
          <w:spacing w:val="-2"/>
          <w:sz w:val="22"/>
          <w:szCs w:val="22"/>
        </w:rPr>
        <w:t>(IDD).</w:t>
      </w:r>
    </w:p>
    <w:p w14:paraId="78D752E3" w14:textId="77777777" w:rsidR="00E51D9F" w:rsidRPr="00EE129B" w:rsidRDefault="00E51D9F" w:rsidP="00E51D9F">
      <w:pPr>
        <w:pStyle w:val="Brdtext"/>
        <w:rPr>
          <w:rFonts w:ascii="Times New Roman" w:hAnsi="Times New Roman" w:cs="Times New Roman"/>
          <w:sz w:val="22"/>
          <w:szCs w:val="22"/>
        </w:rPr>
      </w:pPr>
      <w:r w:rsidRPr="00EE129B">
        <w:rPr>
          <w:rFonts w:ascii="Times New Roman" w:hAnsi="Times New Roman" w:cs="Times New Roman"/>
          <w:sz w:val="22"/>
          <w:szCs w:val="22"/>
        </w:rPr>
        <w:t>I detta arbete inkluderas en bedömning av hållbarhetsrisker i det slutliga beslutsunderlaget som presenteras för ISECs kundacceptanskommitté. Hållbarhet utgör en</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del</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av</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underlaget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till</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det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högst</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beslutsfattande</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organet avseende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nya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fonder och kunder.</w:t>
      </w:r>
    </w:p>
    <w:p w14:paraId="7793D87B" w14:textId="77777777" w:rsidR="00E51D9F" w:rsidRPr="00EE129B" w:rsidRDefault="00E51D9F" w:rsidP="00E51D9F">
      <w:pPr>
        <w:pStyle w:val="Brdtext"/>
        <w:rPr>
          <w:rFonts w:ascii="Times New Roman" w:hAnsi="Times New Roman" w:cs="Times New Roman"/>
          <w:sz w:val="22"/>
          <w:szCs w:val="22"/>
        </w:rPr>
      </w:pPr>
    </w:p>
    <w:p w14:paraId="7DE4D6FF" w14:textId="77777777" w:rsidR="00E51D9F" w:rsidRPr="00EE129B" w:rsidRDefault="00E51D9F" w:rsidP="00E51D9F">
      <w:pPr>
        <w:pStyle w:val="Brdtext"/>
        <w:ind w:right="119"/>
        <w:rPr>
          <w:rFonts w:ascii="Times New Roman" w:hAnsi="Times New Roman" w:cs="Times New Roman"/>
          <w:sz w:val="22"/>
          <w:szCs w:val="22"/>
        </w:rPr>
      </w:pPr>
      <w:r w:rsidRPr="00EE129B">
        <w:rPr>
          <w:rFonts w:ascii="Times New Roman" w:hAnsi="Times New Roman" w:cs="Times New Roman"/>
          <w:sz w:val="22"/>
          <w:szCs w:val="22"/>
        </w:rPr>
        <w:t>I dialog med portföljförvaltaren, bestäms vilken hållbarhetsinriktning varje fond skall få. Detta görs även för denna fond som främjar miljörelaterade och/eller sociala egenskaper i enligt med artikel 8 i SFDR, EU:s förordning 2019/2088 om hållbarhetsrelaterade upplysningar som ska lämnas</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inom</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den</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finansiella</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tjänstesektorn. I</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samband</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med</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detta</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bestäms</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även vilka huvudsakliga negativa konsekvenser för hållbarhetsfaktorer som beaktas vid investeringsbeslut. Portföljförvaltaren tillser därefter att såväl främjande som beaktande sker i enlighet med vad som stipulerats.</w:t>
      </w:r>
    </w:p>
    <w:p w14:paraId="4F18FFA1" w14:textId="77777777" w:rsidR="00E51D9F" w:rsidRPr="00EE129B" w:rsidRDefault="00E51D9F" w:rsidP="00E51D9F">
      <w:pPr>
        <w:pStyle w:val="Brdtext"/>
        <w:spacing w:before="274"/>
        <w:ind w:right="156"/>
        <w:rPr>
          <w:rFonts w:ascii="Times New Roman" w:hAnsi="Times New Roman" w:cs="Times New Roman"/>
          <w:sz w:val="22"/>
          <w:szCs w:val="22"/>
        </w:rPr>
      </w:pPr>
      <w:r w:rsidRPr="00EE129B">
        <w:rPr>
          <w:rFonts w:ascii="Times New Roman" w:hAnsi="Times New Roman" w:cs="Times New Roman"/>
          <w:sz w:val="22"/>
          <w:szCs w:val="22"/>
        </w:rPr>
        <w:t>Under den löpande förvaltningen så genomför ISEC dessutom tillsyn av utlagd</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verksamhet genom</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s.k.</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”ODD”</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(Ongoing</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Due</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Diligence)</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för</w:t>
      </w:r>
      <w:r w:rsidRPr="00EE129B">
        <w:rPr>
          <w:rFonts w:ascii="Times New Roman" w:hAnsi="Times New Roman" w:cs="Times New Roman"/>
          <w:spacing w:val="-6"/>
          <w:sz w:val="22"/>
          <w:szCs w:val="22"/>
        </w:rPr>
        <w:t xml:space="preserve"> </w:t>
      </w:r>
      <w:r w:rsidRPr="00EE129B">
        <w:rPr>
          <w:rFonts w:ascii="Times New Roman" w:hAnsi="Times New Roman" w:cs="Times New Roman"/>
          <w:sz w:val="22"/>
          <w:szCs w:val="22"/>
        </w:rPr>
        <w:t>att</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säkerställa</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att beaktandet av hållbarhetsrisker</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utgör</w:t>
      </w:r>
      <w:r w:rsidRPr="00EE129B">
        <w:rPr>
          <w:rFonts w:ascii="Times New Roman" w:hAnsi="Times New Roman" w:cs="Times New Roman"/>
          <w:spacing w:val="-3"/>
          <w:sz w:val="22"/>
          <w:szCs w:val="22"/>
        </w:rPr>
        <w:t xml:space="preserve"> </w:t>
      </w:r>
      <w:r w:rsidRPr="00EE129B">
        <w:rPr>
          <w:rFonts w:ascii="Times New Roman" w:hAnsi="Times New Roman" w:cs="Times New Roman"/>
          <w:sz w:val="22"/>
          <w:szCs w:val="22"/>
        </w:rPr>
        <w:t>en viktig</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del av alla investeringsbeslut och</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för att säkerställa att miljö-, sociala och bolagsstyrningsstandarder sker i enlighet med såväl ISECs riktlinje för hållbarhet som i enlighet med fondens hållbarhetsinriktning t.ex. vad gäller exkluderingskriterier, väljer in etc.</w:t>
      </w:r>
    </w:p>
    <w:p w14:paraId="0D139B3C" w14:textId="77777777" w:rsidR="00E51D9F" w:rsidRPr="00EE129B" w:rsidRDefault="00E51D9F" w:rsidP="00E51D9F">
      <w:pPr>
        <w:pStyle w:val="Brdtext"/>
        <w:spacing w:before="3"/>
        <w:ind w:left="0"/>
        <w:rPr>
          <w:rFonts w:ascii="Times New Roman" w:hAnsi="Times New Roman" w:cs="Times New Roman"/>
          <w:sz w:val="22"/>
          <w:szCs w:val="22"/>
        </w:rPr>
      </w:pPr>
    </w:p>
    <w:p w14:paraId="4436F4CF" w14:textId="77777777" w:rsidR="00E51D9F" w:rsidRPr="00EE129B" w:rsidRDefault="00E51D9F" w:rsidP="00E51D9F">
      <w:pPr>
        <w:pStyle w:val="Brdtext"/>
        <w:rPr>
          <w:rFonts w:ascii="Times New Roman" w:hAnsi="Times New Roman" w:cs="Times New Roman"/>
          <w:sz w:val="22"/>
          <w:szCs w:val="22"/>
        </w:rPr>
      </w:pPr>
      <w:r w:rsidRPr="00EE129B">
        <w:rPr>
          <w:rFonts w:ascii="Times New Roman" w:hAnsi="Times New Roman" w:cs="Times New Roman"/>
          <w:sz w:val="22"/>
          <w:szCs w:val="22"/>
        </w:rPr>
        <w:t>ISEC tillsammans med fondförvaltare</w:t>
      </w:r>
      <w:r w:rsidRPr="00EE129B">
        <w:rPr>
          <w:rFonts w:ascii="Times New Roman" w:hAnsi="Times New Roman" w:cs="Times New Roman"/>
          <w:spacing w:val="-7"/>
          <w:sz w:val="22"/>
          <w:szCs w:val="22"/>
        </w:rPr>
        <w:t xml:space="preserve"> för denna fond </w:t>
      </w:r>
      <w:r w:rsidRPr="00EE129B">
        <w:rPr>
          <w:rFonts w:ascii="Times New Roman" w:hAnsi="Times New Roman" w:cs="Times New Roman"/>
          <w:sz w:val="22"/>
          <w:szCs w:val="22"/>
        </w:rPr>
        <w:t>har</w:t>
      </w:r>
      <w:r w:rsidRPr="00EE129B">
        <w:rPr>
          <w:rFonts w:ascii="Times New Roman" w:hAnsi="Times New Roman" w:cs="Times New Roman"/>
          <w:spacing w:val="-2"/>
          <w:sz w:val="22"/>
          <w:szCs w:val="22"/>
        </w:rPr>
        <w:t xml:space="preserve"> </w:t>
      </w:r>
      <w:r w:rsidRPr="00EE129B">
        <w:rPr>
          <w:rFonts w:ascii="Times New Roman" w:hAnsi="Times New Roman" w:cs="Times New Roman"/>
          <w:sz w:val="22"/>
          <w:szCs w:val="22"/>
        </w:rPr>
        <w:t>utifrån</w:t>
      </w:r>
      <w:r w:rsidRPr="00EE129B">
        <w:rPr>
          <w:rFonts w:ascii="Times New Roman" w:hAnsi="Times New Roman" w:cs="Times New Roman"/>
          <w:spacing w:val="-7"/>
          <w:sz w:val="22"/>
          <w:szCs w:val="22"/>
        </w:rPr>
        <w:t xml:space="preserve"> </w:t>
      </w:r>
      <w:r w:rsidRPr="00EE129B">
        <w:rPr>
          <w:rFonts w:ascii="Times New Roman" w:hAnsi="Times New Roman" w:cs="Times New Roman"/>
          <w:sz w:val="22"/>
          <w:szCs w:val="22"/>
        </w:rPr>
        <w:t>detta</w:t>
      </w:r>
      <w:r w:rsidRPr="00EE129B">
        <w:rPr>
          <w:rFonts w:ascii="Times New Roman" w:hAnsi="Times New Roman" w:cs="Times New Roman"/>
          <w:spacing w:val="-1"/>
          <w:sz w:val="22"/>
          <w:szCs w:val="22"/>
        </w:rPr>
        <w:t xml:space="preserve"> </w:t>
      </w:r>
      <w:r w:rsidRPr="00EE129B">
        <w:rPr>
          <w:rFonts w:ascii="Times New Roman" w:hAnsi="Times New Roman" w:cs="Times New Roman"/>
          <w:sz w:val="22"/>
          <w:szCs w:val="22"/>
        </w:rPr>
        <w:t xml:space="preserve">ett ansvar att beakta hållbarhetsrelaterade risker och möjligheter och säkerställa hanteringen och dokumentationen av dessa. </w:t>
      </w:r>
    </w:p>
    <w:p w14:paraId="0B5A82E4" w14:textId="77777777" w:rsidR="00E51D9F" w:rsidRPr="00EE129B" w:rsidRDefault="00E51D9F" w:rsidP="00E51D9F">
      <w:pPr>
        <w:pStyle w:val="Brdtext"/>
        <w:spacing w:before="31"/>
        <w:ind w:left="0"/>
        <w:rPr>
          <w:rFonts w:ascii="Times New Roman" w:hAnsi="Times New Roman" w:cs="Times New Roman"/>
          <w:sz w:val="22"/>
          <w:szCs w:val="22"/>
        </w:rPr>
      </w:pPr>
    </w:p>
    <w:p w14:paraId="2A5C2891" w14:textId="77777777" w:rsidR="00E51D9F" w:rsidRPr="00EE129B" w:rsidRDefault="00E51D9F" w:rsidP="00E51D9F">
      <w:pPr>
        <w:pStyle w:val="Rubrik1"/>
        <w:spacing w:before="1"/>
        <w:rPr>
          <w:color w:val="auto"/>
          <w:sz w:val="28"/>
          <w:szCs w:val="28"/>
        </w:rPr>
      </w:pPr>
      <w:r w:rsidRPr="00EE129B">
        <w:rPr>
          <w:color w:val="auto"/>
          <w:sz w:val="28"/>
          <w:szCs w:val="28"/>
        </w:rPr>
        <w:t>Strategier</w:t>
      </w:r>
      <w:r w:rsidRPr="00EE129B">
        <w:rPr>
          <w:b w:val="0"/>
          <w:color w:val="auto"/>
          <w:spacing w:val="-14"/>
          <w:sz w:val="28"/>
          <w:szCs w:val="28"/>
        </w:rPr>
        <w:t xml:space="preserve"> </w:t>
      </w:r>
      <w:r w:rsidRPr="00EE129B">
        <w:rPr>
          <w:color w:val="auto"/>
          <w:sz w:val="28"/>
          <w:szCs w:val="28"/>
        </w:rPr>
        <w:t>för</w:t>
      </w:r>
      <w:r w:rsidRPr="00EE129B">
        <w:rPr>
          <w:b w:val="0"/>
          <w:color w:val="auto"/>
          <w:spacing w:val="-19"/>
          <w:sz w:val="28"/>
          <w:szCs w:val="28"/>
        </w:rPr>
        <w:t xml:space="preserve"> </w:t>
      </w:r>
      <w:r w:rsidRPr="00EE129B">
        <w:rPr>
          <w:color w:val="auto"/>
          <w:spacing w:val="-2"/>
          <w:sz w:val="28"/>
          <w:szCs w:val="28"/>
        </w:rPr>
        <w:t>engagemang</w:t>
      </w:r>
    </w:p>
    <w:p w14:paraId="2C8CFDF2" w14:textId="77777777" w:rsidR="00E51D9F" w:rsidRPr="00EE129B" w:rsidRDefault="00E51D9F" w:rsidP="00E51D9F">
      <w:pPr>
        <w:pStyle w:val="Brdtext"/>
        <w:rPr>
          <w:rFonts w:ascii="Times New Roman" w:hAnsi="Times New Roman" w:cs="Times New Roman"/>
          <w:sz w:val="22"/>
          <w:szCs w:val="22"/>
        </w:rPr>
      </w:pPr>
      <w:r w:rsidRPr="00EE129B">
        <w:rPr>
          <w:rFonts w:ascii="Times New Roman" w:hAnsi="Times New Roman" w:cs="Times New Roman"/>
          <w:sz w:val="22"/>
          <w:szCs w:val="22"/>
        </w:rPr>
        <w:t>Fonden undviker i huvuddrag investeringar i bolag involverade i förbjudna vapen, kärnvapen, vapen och krigsmateriel, alkohol, tobak, cannabis, pornografi, kommersiell spelverksamhet och fossila bränslen, samt de som bryter mot internationella normer. Innan investeringar görs, utvärderas hållbarhetsrisker och potentiella negativa konsekvenser, och beslut baseras på denna utvärdering. Genom denna strategi kan fonden aktivt välja in och ut bolag, vilket främjar ett större engagemang för hållbarhet. Data samlas regelbundet in för rapportering och analys, och en årlig granskning säkerställer att portföljbolagen uppfyller fondens miljö- och sociala mål.</w:t>
      </w:r>
    </w:p>
    <w:p w14:paraId="37F6FA64" w14:textId="77777777" w:rsidR="00E51D9F" w:rsidRPr="00EE129B" w:rsidRDefault="00E51D9F" w:rsidP="00E51D9F">
      <w:pPr>
        <w:pStyle w:val="Brdtext"/>
        <w:rPr>
          <w:rFonts w:ascii="Times New Roman" w:hAnsi="Times New Roman" w:cs="Times New Roman"/>
          <w:sz w:val="22"/>
          <w:szCs w:val="22"/>
        </w:rPr>
      </w:pPr>
    </w:p>
    <w:p w14:paraId="18F0A120" w14:textId="77777777" w:rsidR="00E51D9F" w:rsidRPr="00EE129B" w:rsidRDefault="00E51D9F" w:rsidP="00E51D9F">
      <w:pPr>
        <w:pStyle w:val="Rubrik1"/>
        <w:rPr>
          <w:color w:val="auto"/>
          <w:sz w:val="28"/>
          <w:szCs w:val="28"/>
        </w:rPr>
      </w:pPr>
      <w:r w:rsidRPr="00EE129B">
        <w:rPr>
          <w:color w:val="auto"/>
          <w:sz w:val="28"/>
          <w:szCs w:val="28"/>
        </w:rPr>
        <w:t>Valt</w:t>
      </w:r>
      <w:r w:rsidRPr="00EE129B">
        <w:rPr>
          <w:b w:val="0"/>
          <w:color w:val="auto"/>
          <w:spacing w:val="-11"/>
          <w:sz w:val="28"/>
          <w:szCs w:val="28"/>
        </w:rPr>
        <w:t xml:space="preserve"> </w:t>
      </w:r>
      <w:r w:rsidRPr="00EE129B">
        <w:rPr>
          <w:color w:val="auto"/>
          <w:spacing w:val="-2"/>
          <w:sz w:val="28"/>
          <w:szCs w:val="28"/>
        </w:rPr>
        <w:t>referensvärde</w:t>
      </w:r>
    </w:p>
    <w:p w14:paraId="62621773" w14:textId="77777777" w:rsidR="00E51D9F" w:rsidRPr="00EE129B" w:rsidRDefault="00E51D9F" w:rsidP="00E51D9F">
      <w:pPr>
        <w:pStyle w:val="Brdtext"/>
        <w:spacing w:before="6"/>
        <w:ind w:right="160"/>
        <w:rPr>
          <w:rFonts w:ascii="Times New Roman" w:hAnsi="Times New Roman" w:cs="Times New Roman"/>
          <w:sz w:val="22"/>
          <w:szCs w:val="22"/>
        </w:rPr>
      </w:pPr>
      <w:r w:rsidRPr="00EE129B">
        <w:rPr>
          <w:rFonts w:ascii="Times New Roman" w:hAnsi="Times New Roman" w:cs="Times New Roman"/>
          <w:sz w:val="22"/>
          <w:szCs w:val="22"/>
        </w:rPr>
        <w:t xml:space="preserve">Fonden använder inget index för att uppnå främjandet av de sociala eller miljömässiga egenskaperna. </w:t>
      </w:r>
    </w:p>
    <w:p w14:paraId="179F52FB" w14:textId="30D94F6B" w:rsidR="00E56CB3" w:rsidRPr="00EE129B" w:rsidRDefault="00143F9B">
      <w:pPr>
        <w:ind w:left="-5" w:right="-8"/>
        <w:rPr>
          <w:color w:val="auto"/>
        </w:rPr>
      </w:pPr>
      <w:r w:rsidRPr="00EE129B">
        <w:rPr>
          <w:color w:val="auto"/>
        </w:rPr>
        <w:t xml:space="preserve"> </w:t>
      </w:r>
    </w:p>
    <w:sectPr w:rsidR="00E56CB3" w:rsidRPr="00EE129B" w:rsidSect="00433BFE">
      <w:headerReference w:type="even" r:id="rId18"/>
      <w:headerReference w:type="default" r:id="rId19"/>
      <w:headerReference w:type="first" r:id="rId20"/>
      <w:footnotePr>
        <w:numRestart w:val="eachPage"/>
      </w:footnotePr>
      <w:pgSz w:w="11911" w:h="16841"/>
      <w:pgMar w:top="2391" w:right="1415" w:bottom="1417" w:left="1416" w:header="794" w:footer="113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min Manouchehr" w:date="2026-01-27T15:21:00Z" w:initials="AM">
    <w:p w14:paraId="66A3AD58" w14:textId="77777777" w:rsidR="00E72E2D" w:rsidRDefault="00E72E2D" w:rsidP="00E72E2D">
      <w:pPr>
        <w:pStyle w:val="Kommentarer"/>
        <w:ind w:left="0" w:firstLine="0"/>
        <w:jc w:val="left"/>
      </w:pPr>
      <w:r>
        <w:rPr>
          <w:rStyle w:val="Kommentarsreferens"/>
        </w:rPr>
        <w:annotationRef/>
      </w:r>
      <w:r>
        <w:t xml:space="preserve">Länk uppdateras när IB med hållbarhetsbilagan är uppe.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A3AD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918FC" w16cex:dateUtc="2026-01-2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3AD58" w16cid:durableId="11C918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A25B" w14:textId="77777777" w:rsidR="004418A2" w:rsidRDefault="004418A2">
      <w:pPr>
        <w:spacing w:after="0" w:line="240" w:lineRule="auto"/>
      </w:pPr>
      <w:r>
        <w:separator/>
      </w:r>
    </w:p>
  </w:endnote>
  <w:endnote w:type="continuationSeparator" w:id="0">
    <w:p w14:paraId="583BB8F1" w14:textId="77777777" w:rsidR="004418A2" w:rsidRDefault="0044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109414"/>
      <w:docPartObj>
        <w:docPartGallery w:val="Page Numbers (Bottom of Page)"/>
        <w:docPartUnique/>
      </w:docPartObj>
    </w:sdtPr>
    <w:sdtContent>
      <w:p w14:paraId="09477192" w14:textId="4DF16EB0" w:rsidR="00A45826" w:rsidRDefault="00A45826">
        <w:pPr>
          <w:pStyle w:val="Sidfot"/>
          <w:jc w:val="center"/>
        </w:pPr>
        <w:r>
          <w:fldChar w:fldCharType="begin"/>
        </w:r>
        <w:r>
          <w:instrText>PAGE   \* MERGEFORMAT</w:instrText>
        </w:r>
        <w:r>
          <w:fldChar w:fldCharType="separate"/>
        </w:r>
        <w:r>
          <w:t>2</w:t>
        </w:r>
        <w:r>
          <w:fldChar w:fldCharType="end"/>
        </w:r>
      </w:p>
    </w:sdtContent>
  </w:sdt>
  <w:p w14:paraId="4295960A" w14:textId="77777777" w:rsidR="00A45826" w:rsidRDefault="00A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48923"/>
      <w:docPartObj>
        <w:docPartGallery w:val="Page Numbers (Bottom of Page)"/>
        <w:docPartUnique/>
      </w:docPartObj>
    </w:sdtPr>
    <w:sdtContent>
      <w:p w14:paraId="4A6B5330" w14:textId="66104E2F" w:rsidR="00A45826" w:rsidRDefault="00A45826">
        <w:pPr>
          <w:pStyle w:val="Sidfot"/>
          <w:jc w:val="center"/>
        </w:pPr>
        <w:r>
          <w:fldChar w:fldCharType="begin"/>
        </w:r>
        <w:r>
          <w:instrText>PAGE   \* MERGEFORMAT</w:instrText>
        </w:r>
        <w:r>
          <w:fldChar w:fldCharType="separate"/>
        </w:r>
        <w:r>
          <w:t>2</w:t>
        </w:r>
        <w:r>
          <w:fldChar w:fldCharType="end"/>
        </w:r>
      </w:p>
    </w:sdtContent>
  </w:sdt>
  <w:p w14:paraId="305EA060" w14:textId="77777777" w:rsidR="00A45826" w:rsidRDefault="00A458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998860"/>
      <w:docPartObj>
        <w:docPartGallery w:val="Page Numbers (Bottom of Page)"/>
        <w:docPartUnique/>
      </w:docPartObj>
    </w:sdtPr>
    <w:sdtContent>
      <w:p w14:paraId="0EB5B041" w14:textId="26418C89" w:rsidR="000D32CF" w:rsidRDefault="000D32CF">
        <w:pPr>
          <w:pStyle w:val="Sidfot"/>
          <w:jc w:val="center"/>
        </w:pPr>
        <w:r>
          <w:fldChar w:fldCharType="begin"/>
        </w:r>
        <w:r>
          <w:instrText>PAGE   \* MERGEFORMAT</w:instrText>
        </w:r>
        <w:r>
          <w:fldChar w:fldCharType="separate"/>
        </w:r>
        <w:r>
          <w:t>2</w:t>
        </w:r>
        <w:r>
          <w:fldChar w:fldCharType="end"/>
        </w:r>
      </w:p>
    </w:sdtContent>
  </w:sdt>
  <w:p w14:paraId="2195E66D" w14:textId="77777777" w:rsidR="000D32CF" w:rsidRDefault="000D3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7AC5" w14:textId="77777777" w:rsidR="004418A2" w:rsidRDefault="004418A2">
      <w:pPr>
        <w:spacing w:after="0" w:line="259" w:lineRule="auto"/>
        <w:ind w:left="0" w:right="0" w:firstLine="0"/>
        <w:jc w:val="left"/>
      </w:pPr>
      <w:r>
        <w:separator/>
      </w:r>
    </w:p>
  </w:footnote>
  <w:footnote w:type="continuationSeparator" w:id="0">
    <w:p w14:paraId="52B77D73" w14:textId="77777777" w:rsidR="004418A2" w:rsidRDefault="004418A2">
      <w:pPr>
        <w:spacing w:after="0" w:line="259" w:lineRule="auto"/>
        <w:ind w:left="0" w:right="0" w:firstLine="0"/>
        <w:jc w:val="left"/>
      </w:pPr>
      <w:r>
        <w:continuationSeparator/>
      </w:r>
    </w:p>
  </w:footnote>
  <w:footnote w:id="1">
    <w:p w14:paraId="525DB8C1" w14:textId="2F9CE183" w:rsidR="00EE129B" w:rsidRPr="00EE129B" w:rsidRDefault="00EE129B" w:rsidP="00EE129B">
      <w:pPr>
        <w:tabs>
          <w:tab w:val="left" w:pos="476"/>
        </w:tabs>
        <w:ind w:left="116"/>
        <w:rPr>
          <w:color w:val="auto"/>
          <w:sz w:val="20"/>
          <w:szCs w:val="20"/>
        </w:rPr>
      </w:pPr>
      <w:r>
        <w:rPr>
          <w:rStyle w:val="Fotnotsreferens"/>
        </w:rPr>
        <w:footnoteRef/>
      </w:r>
      <w:r>
        <w:t xml:space="preserve"> </w:t>
      </w:r>
      <w:r w:rsidRPr="00EE129B">
        <w:rPr>
          <w:color w:val="auto"/>
          <w:sz w:val="20"/>
          <w:szCs w:val="20"/>
        </w:rPr>
        <w:t>Kommissionens</w:t>
      </w:r>
      <w:r w:rsidRPr="00EE129B">
        <w:rPr>
          <w:color w:val="auto"/>
          <w:spacing w:val="-9"/>
          <w:sz w:val="20"/>
          <w:szCs w:val="20"/>
        </w:rPr>
        <w:t xml:space="preserve"> </w:t>
      </w:r>
      <w:r w:rsidRPr="00EE129B">
        <w:rPr>
          <w:color w:val="auto"/>
          <w:sz w:val="20"/>
          <w:szCs w:val="20"/>
        </w:rPr>
        <w:t>delegerade</w:t>
      </w:r>
      <w:r w:rsidRPr="00EE129B">
        <w:rPr>
          <w:color w:val="auto"/>
          <w:spacing w:val="-6"/>
          <w:sz w:val="20"/>
          <w:szCs w:val="20"/>
        </w:rPr>
        <w:t xml:space="preserve"> </w:t>
      </w:r>
      <w:r w:rsidRPr="00EE129B">
        <w:rPr>
          <w:color w:val="auto"/>
          <w:sz w:val="20"/>
          <w:szCs w:val="20"/>
        </w:rPr>
        <w:t>förordning</w:t>
      </w:r>
      <w:r w:rsidRPr="00EE129B">
        <w:rPr>
          <w:color w:val="auto"/>
          <w:spacing w:val="-9"/>
          <w:sz w:val="20"/>
          <w:szCs w:val="20"/>
        </w:rPr>
        <w:t xml:space="preserve"> </w:t>
      </w:r>
      <w:r w:rsidRPr="00EE129B">
        <w:rPr>
          <w:color w:val="auto"/>
          <w:sz w:val="20"/>
          <w:szCs w:val="20"/>
        </w:rPr>
        <w:t>(EU)</w:t>
      </w:r>
      <w:r w:rsidRPr="00EE129B">
        <w:rPr>
          <w:color w:val="auto"/>
          <w:spacing w:val="-8"/>
          <w:sz w:val="20"/>
          <w:szCs w:val="20"/>
        </w:rPr>
        <w:t xml:space="preserve"> </w:t>
      </w:r>
      <w:r w:rsidRPr="00EE129B">
        <w:rPr>
          <w:color w:val="auto"/>
          <w:spacing w:val="-2"/>
          <w:sz w:val="20"/>
          <w:szCs w:val="20"/>
        </w:rPr>
        <w:t>2022/1288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8D93" w14:textId="7B40FF70" w:rsidR="000D32CF" w:rsidRDefault="000D32CF" w:rsidP="000D32CF">
    <w:pPr>
      <w:pStyle w:val="Sidhuvud"/>
      <w:jc w:val="center"/>
    </w:pPr>
    <w:r>
      <w:rPr>
        <w:noProof/>
      </w:rPr>
      <w:drawing>
        <wp:anchor distT="0" distB="0" distL="114300" distR="114300" simplePos="0" relativeHeight="251671552" behindDoc="0" locked="0" layoutInCell="1" allowOverlap="0" wp14:anchorId="07946C45" wp14:editId="6A2C5838">
          <wp:simplePos x="0" y="0"/>
          <wp:positionH relativeFrom="margin">
            <wp:align>left</wp:align>
          </wp:positionH>
          <wp:positionV relativeFrom="topMargin">
            <wp:align>bottom</wp:align>
          </wp:positionV>
          <wp:extent cx="714375" cy="723900"/>
          <wp:effectExtent l="0" t="0" r="9525" b="0"/>
          <wp:wrapSquare wrapText="bothSides"/>
          <wp:docPr id="1901620948" name="Picture 7" descr="En bild som visar text, kompass, symbol,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93927114" name="Picture 7" descr="En bild som visar text, kompass, symbol, emblem&#10;&#10;AI-genererat innehåll kan vara felaktigt."/>
                  <pic:cNvPicPr/>
                </pic:nvPicPr>
                <pic:blipFill>
                  <a:blip r:embed="rId1"/>
                  <a:stretch>
                    <a:fillRect/>
                  </a:stretch>
                </pic:blipFill>
                <pic:spPr>
                  <a:xfrm>
                    <a:off x="0" y="0"/>
                    <a:ext cx="714375"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A79B" w14:textId="6325BAFA" w:rsidR="00E51D9F" w:rsidRDefault="00E51D9F">
    <w:pPr>
      <w:pStyle w:val="Brdtext"/>
      <w:spacing w:line="14" w:lineRule="auto"/>
      <w:ind w:left="0"/>
      <w:rPr>
        <w:sz w:val="20"/>
      </w:rPr>
    </w:pPr>
    <w:r>
      <w:rPr>
        <w:noProof/>
      </w:rPr>
      <w:drawing>
        <wp:anchor distT="0" distB="0" distL="114300" distR="114300" simplePos="0" relativeHeight="251667456" behindDoc="0" locked="0" layoutInCell="1" allowOverlap="0" wp14:anchorId="43BABC85" wp14:editId="150D4FF8">
          <wp:simplePos x="0" y="0"/>
          <wp:positionH relativeFrom="margin">
            <wp:align>left</wp:align>
          </wp:positionH>
          <wp:positionV relativeFrom="topMargin">
            <wp:align>bottom</wp:align>
          </wp:positionV>
          <wp:extent cx="714375" cy="723900"/>
          <wp:effectExtent l="0" t="0" r="9525" b="0"/>
          <wp:wrapSquare wrapText="bothSides"/>
          <wp:docPr id="775070483" name="Picture 7" descr="En bild som visar text, kompass, symbol,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93927114" name="Picture 7" descr="En bild som visar text, kompass, symbol, emblem&#10;&#10;AI-genererat innehåll kan vara felaktigt."/>
                  <pic:cNvPicPr/>
                </pic:nvPicPr>
                <pic:blipFill>
                  <a:blip r:embed="rId1"/>
                  <a:stretch>
                    <a:fillRect/>
                  </a:stretch>
                </pic:blipFill>
                <pic:spPr>
                  <a:xfrm>
                    <a:off x="0" y="0"/>
                    <a:ext cx="714375"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7E2" w14:textId="5CD23A7E" w:rsidR="00D70C8B" w:rsidRDefault="00D70C8B">
    <w:pPr>
      <w:pStyle w:val="Sidhuvud"/>
    </w:pPr>
    <w:r>
      <w:rPr>
        <w:noProof/>
      </w:rPr>
      <w:drawing>
        <wp:anchor distT="0" distB="0" distL="114300" distR="114300" simplePos="0" relativeHeight="251673600" behindDoc="0" locked="0" layoutInCell="1" allowOverlap="0" wp14:anchorId="081ACD77" wp14:editId="7FB30BC9">
          <wp:simplePos x="0" y="0"/>
          <wp:positionH relativeFrom="margin">
            <wp:align>left</wp:align>
          </wp:positionH>
          <wp:positionV relativeFrom="topMargin">
            <wp:align>bottom</wp:align>
          </wp:positionV>
          <wp:extent cx="714375" cy="723900"/>
          <wp:effectExtent l="0" t="0" r="9525" b="0"/>
          <wp:wrapSquare wrapText="bothSides"/>
          <wp:docPr id="1447935740" name="Picture 7" descr="En bild som visar text, kompass, symbol,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93927114" name="Picture 7" descr="En bild som visar text, kompass, symbol, emblem&#10;&#10;AI-genererat innehåll kan vara felaktigt."/>
                  <pic:cNvPicPr/>
                </pic:nvPicPr>
                <pic:blipFill>
                  <a:blip r:embed="rId1"/>
                  <a:stretch>
                    <a:fillRect/>
                  </a:stretch>
                </pic:blipFill>
                <pic:spPr>
                  <a:xfrm>
                    <a:off x="0" y="0"/>
                    <a:ext cx="714375"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12A8" w14:textId="77777777" w:rsidR="00E56CB3" w:rsidRDefault="00143F9B">
    <w:pPr>
      <w:spacing w:after="0" w:line="259" w:lineRule="auto"/>
      <w:ind w:left="-1416" w:right="7701" w:firstLine="0"/>
      <w:jc w:val="left"/>
    </w:pPr>
    <w:r>
      <w:rPr>
        <w:noProof/>
      </w:rPr>
      <w:drawing>
        <wp:anchor distT="0" distB="0" distL="114300" distR="114300" simplePos="0" relativeHeight="251658240" behindDoc="0" locked="0" layoutInCell="1" allowOverlap="0" wp14:anchorId="76D537B3" wp14:editId="6CC6BE1E">
          <wp:simplePos x="0" y="0"/>
          <wp:positionH relativeFrom="page">
            <wp:posOffset>899795</wp:posOffset>
          </wp:positionH>
          <wp:positionV relativeFrom="page">
            <wp:posOffset>449593</wp:posOffset>
          </wp:positionV>
          <wp:extent cx="875030" cy="874255"/>
          <wp:effectExtent l="0" t="0" r="0" b="0"/>
          <wp:wrapSquare wrapText="bothSides"/>
          <wp:docPr id="106473364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75030" cy="874255"/>
                  </a:xfrm>
                  <a:prstGeom prst="rect">
                    <a:avLst/>
                  </a:prstGeom>
                </pic:spPr>
              </pic:pic>
            </a:graphicData>
          </a:graphic>
        </wp:anchor>
      </w:drawing>
    </w:r>
  </w:p>
  <w:p w14:paraId="0CF9A481" w14:textId="77777777" w:rsidR="00E56CB3" w:rsidRDefault="00143F9B">
    <w:r>
      <w:rPr>
        <w:rFonts w:ascii="Calibri" w:eastAsia="Calibri" w:hAnsi="Calibri" w:cs="Calibri"/>
        <w:noProof/>
      </w:rPr>
      <mc:AlternateContent>
        <mc:Choice Requires="wpg">
          <w:drawing>
            <wp:anchor distT="0" distB="0" distL="114300" distR="114300" simplePos="0" relativeHeight="251659264" behindDoc="1" locked="0" layoutInCell="1" allowOverlap="1" wp14:anchorId="1F787AEA" wp14:editId="6C1019C7">
              <wp:simplePos x="0" y="0"/>
              <wp:positionH relativeFrom="page">
                <wp:posOffset>0</wp:posOffset>
              </wp:positionH>
              <wp:positionV relativeFrom="page">
                <wp:posOffset>0</wp:posOffset>
              </wp:positionV>
              <wp:extent cx="1" cy="1"/>
              <wp:effectExtent l="0" t="0" r="0" b="0"/>
              <wp:wrapNone/>
              <wp:docPr id="2441" name="Group 24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41"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4E52" w14:textId="77777777" w:rsidR="00E56CB3" w:rsidRDefault="00143F9B">
    <w:r>
      <w:rPr>
        <w:rFonts w:ascii="Calibri" w:eastAsia="Calibri" w:hAnsi="Calibri" w:cs="Calibri"/>
        <w:noProof/>
      </w:rPr>
      <mc:AlternateContent>
        <mc:Choice Requires="wpg">
          <w:drawing>
            <wp:anchor distT="0" distB="0" distL="114300" distR="114300" simplePos="0" relativeHeight="251660288" behindDoc="1" locked="0" layoutInCell="1" allowOverlap="1" wp14:anchorId="40B9DF07" wp14:editId="35ADF393">
              <wp:simplePos x="0" y="0"/>
              <wp:positionH relativeFrom="page">
                <wp:posOffset>899795</wp:posOffset>
              </wp:positionH>
              <wp:positionV relativeFrom="page">
                <wp:posOffset>449593</wp:posOffset>
              </wp:positionV>
              <wp:extent cx="875030" cy="874255"/>
              <wp:effectExtent l="0" t="0" r="0" b="0"/>
              <wp:wrapNone/>
              <wp:docPr id="2433" name="Group 2433"/>
              <wp:cNvGraphicFramePr/>
              <a:graphic xmlns:a="http://schemas.openxmlformats.org/drawingml/2006/main">
                <a:graphicData uri="http://schemas.microsoft.com/office/word/2010/wordprocessingGroup">
                  <wpg:wgp>
                    <wpg:cNvGrpSpPr/>
                    <wpg:grpSpPr>
                      <a:xfrm>
                        <a:off x="0" y="0"/>
                        <a:ext cx="875030" cy="874255"/>
                        <a:chOff x="0" y="0"/>
                        <a:chExt cx="875030" cy="874255"/>
                      </a:xfrm>
                    </wpg:grpSpPr>
                    <pic:pic xmlns:pic="http://schemas.openxmlformats.org/drawingml/2006/picture">
                      <pic:nvPicPr>
                        <pic:cNvPr id="2434" name="Picture 2434"/>
                        <pic:cNvPicPr/>
                      </pic:nvPicPr>
                      <pic:blipFill>
                        <a:blip r:embed="rId1"/>
                        <a:stretch>
                          <a:fillRect/>
                        </a:stretch>
                      </pic:blipFill>
                      <pic:spPr>
                        <a:xfrm>
                          <a:off x="0" y="0"/>
                          <a:ext cx="875030" cy="874255"/>
                        </a:xfrm>
                        <a:prstGeom prst="rect">
                          <a:avLst/>
                        </a:prstGeom>
                      </pic:spPr>
                    </pic:pic>
                  </wpg:wgp>
                </a:graphicData>
              </a:graphic>
            </wp:anchor>
          </w:drawing>
        </mc:Choice>
        <mc:Fallback xmlns:a="http://schemas.openxmlformats.org/drawingml/2006/main">
          <w:pict>
            <v:group id="Group 2433" style="width:68.9pt;height:68.839pt;position:absolute;z-index:-2147483648;mso-position-horizontal-relative:page;mso-position-horizontal:absolute;margin-left:70.85pt;mso-position-vertical-relative:page;margin-top:35.401pt;" coordsize="8750,8742">
              <v:shape id="Picture 2434" style="position:absolute;width:8750;height:8742;left:0;top:0;" filled="f">
                <v:imagedata r:id="rId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B86F" w14:textId="72DDAC81" w:rsidR="00E56CB3" w:rsidRDefault="00433BFE">
    <w:pPr>
      <w:spacing w:after="0" w:line="259" w:lineRule="auto"/>
      <w:ind w:left="-1416" w:right="7701" w:firstLine="0"/>
      <w:jc w:val="left"/>
    </w:pPr>
    <w:r>
      <w:rPr>
        <w:noProof/>
      </w:rPr>
      <w:drawing>
        <wp:anchor distT="0" distB="0" distL="114300" distR="114300" simplePos="0" relativeHeight="251675648" behindDoc="0" locked="0" layoutInCell="1" allowOverlap="0" wp14:anchorId="3D2FC54D" wp14:editId="763CA138">
          <wp:simplePos x="0" y="0"/>
          <wp:positionH relativeFrom="margin">
            <wp:posOffset>-381000</wp:posOffset>
          </wp:positionH>
          <wp:positionV relativeFrom="topMargin">
            <wp:posOffset>236855</wp:posOffset>
          </wp:positionV>
          <wp:extent cx="714375" cy="723900"/>
          <wp:effectExtent l="0" t="0" r="9525" b="0"/>
          <wp:wrapSquare wrapText="bothSides"/>
          <wp:docPr id="1335000653" name="Picture 7" descr="En bild som visar text, kompass, symbol,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93927114" name="Picture 7" descr="En bild som visar text, kompass, symbol, emblem&#10;&#10;AI-genererat innehåll kan vara felaktigt."/>
                  <pic:cNvPicPr/>
                </pic:nvPicPr>
                <pic:blipFill>
                  <a:blip r:embed="rId1"/>
                  <a:stretch>
                    <a:fillRect/>
                  </a:stretch>
                </pic:blipFill>
                <pic:spPr>
                  <a:xfrm>
                    <a:off x="0" y="0"/>
                    <a:ext cx="714375" cy="723900"/>
                  </a:xfrm>
                  <a:prstGeom prst="rect">
                    <a:avLst/>
                  </a:prstGeom>
                </pic:spPr>
              </pic:pic>
            </a:graphicData>
          </a:graphic>
          <wp14:sizeRelH relativeFrom="margin">
            <wp14:pctWidth>0</wp14:pctWidth>
          </wp14:sizeRelH>
          <wp14:sizeRelV relativeFrom="margin">
            <wp14:pctHeight>0</wp14:pctHeight>
          </wp14:sizeRelV>
        </wp:anchor>
      </w:drawing>
    </w:r>
  </w:p>
  <w:p w14:paraId="560550F1" w14:textId="77777777" w:rsidR="00E56CB3" w:rsidRDefault="00143F9B">
    <w:r>
      <w:rPr>
        <w:rFonts w:ascii="Calibri" w:eastAsia="Calibri" w:hAnsi="Calibri" w:cs="Calibri"/>
        <w:noProof/>
      </w:rPr>
      <mc:AlternateContent>
        <mc:Choice Requires="wpg">
          <w:drawing>
            <wp:anchor distT="0" distB="0" distL="114300" distR="114300" simplePos="0" relativeHeight="251662336" behindDoc="1" locked="0" layoutInCell="1" allowOverlap="1" wp14:anchorId="7537F62A" wp14:editId="7EEB8FC2">
              <wp:simplePos x="0" y="0"/>
              <wp:positionH relativeFrom="page">
                <wp:posOffset>0</wp:posOffset>
              </wp:positionH>
              <wp:positionV relativeFrom="page">
                <wp:posOffset>0</wp:posOffset>
              </wp:positionV>
              <wp:extent cx="1" cy="1"/>
              <wp:effectExtent l="0" t="0" r="0" b="0"/>
              <wp:wrapNone/>
              <wp:docPr id="2431" name="Group 24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3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A9C"/>
    <w:multiLevelType w:val="hybridMultilevel"/>
    <w:tmpl w:val="42EE110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A8326B8"/>
    <w:multiLevelType w:val="multilevel"/>
    <w:tmpl w:val="4ACE5964"/>
    <w:lvl w:ilvl="0">
      <w:start w:val="1"/>
      <w:numFmt w:val="decimal"/>
      <w:pStyle w:val="Rubrik1"/>
      <w:lvlText w:val="%1."/>
      <w:lvlJc w:val="left"/>
      <w:pPr>
        <w:ind w:left="0"/>
      </w:pPr>
      <w:rPr>
        <w:rFonts w:ascii="Times New Roman" w:eastAsia="Times New Roman" w:hAnsi="Times New Roman" w:cs="Times New Roman"/>
        <w:b/>
        <w:bCs/>
        <w:i w:val="0"/>
        <w:strike w:val="0"/>
        <w:dstrike w:val="0"/>
        <w:color w:val="44536A"/>
        <w:sz w:val="24"/>
        <w:szCs w:val="24"/>
        <w:u w:val="none" w:color="000000"/>
        <w:bdr w:val="none" w:sz="0" w:space="0" w:color="auto"/>
        <w:shd w:val="clear" w:color="auto" w:fill="auto"/>
        <w:vertAlign w:val="baseline"/>
      </w:rPr>
    </w:lvl>
    <w:lvl w:ilvl="1">
      <w:start w:val="1"/>
      <w:numFmt w:val="decimal"/>
      <w:pStyle w:val="Rubrik2"/>
      <w:lvlText w:val="%1.%2."/>
      <w:lvlJc w:val="left"/>
      <w:pPr>
        <w:ind w:left="0"/>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2">
      <w:start w:val="1"/>
      <w:numFmt w:val="lowerRoman"/>
      <w:lvlText w:val="%3"/>
      <w:lvlJc w:val="left"/>
      <w:pPr>
        <w:ind w:left="119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3">
      <w:start w:val="1"/>
      <w:numFmt w:val="decimal"/>
      <w:lvlText w:val="%4"/>
      <w:lvlJc w:val="left"/>
      <w:pPr>
        <w:ind w:left="191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4">
      <w:start w:val="1"/>
      <w:numFmt w:val="lowerLetter"/>
      <w:lvlText w:val="%5"/>
      <w:lvlJc w:val="left"/>
      <w:pPr>
        <w:ind w:left="263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5">
      <w:start w:val="1"/>
      <w:numFmt w:val="lowerRoman"/>
      <w:lvlText w:val="%6"/>
      <w:lvlJc w:val="left"/>
      <w:pPr>
        <w:ind w:left="335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6">
      <w:start w:val="1"/>
      <w:numFmt w:val="decimal"/>
      <w:lvlText w:val="%7"/>
      <w:lvlJc w:val="left"/>
      <w:pPr>
        <w:ind w:left="407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7">
      <w:start w:val="1"/>
      <w:numFmt w:val="lowerLetter"/>
      <w:lvlText w:val="%8"/>
      <w:lvlJc w:val="left"/>
      <w:pPr>
        <w:ind w:left="479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lvl w:ilvl="8">
      <w:start w:val="1"/>
      <w:numFmt w:val="lowerRoman"/>
      <w:lvlText w:val="%9"/>
      <w:lvlJc w:val="left"/>
      <w:pPr>
        <w:ind w:left="5515"/>
      </w:pPr>
      <w:rPr>
        <w:rFonts w:ascii="Times New Roman" w:eastAsia="Times New Roman" w:hAnsi="Times New Roman" w:cs="Times New Roman"/>
        <w:b/>
        <w:bCs/>
        <w:i w:val="0"/>
        <w:strike w:val="0"/>
        <w:dstrike w:val="0"/>
        <w:color w:val="44536A"/>
        <w:sz w:val="22"/>
        <w:szCs w:val="22"/>
        <w:u w:val="none" w:color="000000"/>
        <w:bdr w:val="none" w:sz="0" w:space="0" w:color="auto"/>
        <w:shd w:val="clear" w:color="auto" w:fill="auto"/>
        <w:vertAlign w:val="baseline"/>
      </w:rPr>
    </w:lvl>
  </w:abstractNum>
  <w:abstractNum w:abstractNumId="2" w15:restartNumberingAfterBreak="0">
    <w:nsid w:val="2F0D3616"/>
    <w:multiLevelType w:val="hybridMultilevel"/>
    <w:tmpl w:val="30A483B6"/>
    <w:lvl w:ilvl="0" w:tplc="041D000F">
      <w:start w:val="1"/>
      <w:numFmt w:val="decimal"/>
      <w:lvlText w:val="%1."/>
      <w:lvlJc w:val="left"/>
      <w:pPr>
        <w:ind w:left="1196" w:hanging="360"/>
      </w:pPr>
    </w:lvl>
    <w:lvl w:ilvl="1" w:tplc="041D0019" w:tentative="1">
      <w:start w:val="1"/>
      <w:numFmt w:val="lowerLetter"/>
      <w:lvlText w:val="%2."/>
      <w:lvlJc w:val="left"/>
      <w:pPr>
        <w:ind w:left="1916" w:hanging="360"/>
      </w:pPr>
    </w:lvl>
    <w:lvl w:ilvl="2" w:tplc="041D001B" w:tentative="1">
      <w:start w:val="1"/>
      <w:numFmt w:val="lowerRoman"/>
      <w:lvlText w:val="%3."/>
      <w:lvlJc w:val="right"/>
      <w:pPr>
        <w:ind w:left="2636" w:hanging="180"/>
      </w:pPr>
    </w:lvl>
    <w:lvl w:ilvl="3" w:tplc="041D000F" w:tentative="1">
      <w:start w:val="1"/>
      <w:numFmt w:val="decimal"/>
      <w:lvlText w:val="%4."/>
      <w:lvlJc w:val="left"/>
      <w:pPr>
        <w:ind w:left="3356" w:hanging="360"/>
      </w:pPr>
    </w:lvl>
    <w:lvl w:ilvl="4" w:tplc="041D0019" w:tentative="1">
      <w:start w:val="1"/>
      <w:numFmt w:val="lowerLetter"/>
      <w:lvlText w:val="%5."/>
      <w:lvlJc w:val="left"/>
      <w:pPr>
        <w:ind w:left="4076" w:hanging="360"/>
      </w:pPr>
    </w:lvl>
    <w:lvl w:ilvl="5" w:tplc="041D001B" w:tentative="1">
      <w:start w:val="1"/>
      <w:numFmt w:val="lowerRoman"/>
      <w:lvlText w:val="%6."/>
      <w:lvlJc w:val="right"/>
      <w:pPr>
        <w:ind w:left="4796" w:hanging="180"/>
      </w:pPr>
    </w:lvl>
    <w:lvl w:ilvl="6" w:tplc="041D000F" w:tentative="1">
      <w:start w:val="1"/>
      <w:numFmt w:val="decimal"/>
      <w:lvlText w:val="%7."/>
      <w:lvlJc w:val="left"/>
      <w:pPr>
        <w:ind w:left="5516" w:hanging="360"/>
      </w:pPr>
    </w:lvl>
    <w:lvl w:ilvl="7" w:tplc="041D0019" w:tentative="1">
      <w:start w:val="1"/>
      <w:numFmt w:val="lowerLetter"/>
      <w:lvlText w:val="%8."/>
      <w:lvlJc w:val="left"/>
      <w:pPr>
        <w:ind w:left="6236" w:hanging="360"/>
      </w:pPr>
    </w:lvl>
    <w:lvl w:ilvl="8" w:tplc="041D001B" w:tentative="1">
      <w:start w:val="1"/>
      <w:numFmt w:val="lowerRoman"/>
      <w:lvlText w:val="%9."/>
      <w:lvlJc w:val="right"/>
      <w:pPr>
        <w:ind w:left="6956" w:hanging="180"/>
      </w:pPr>
    </w:lvl>
  </w:abstractNum>
  <w:abstractNum w:abstractNumId="3" w15:restartNumberingAfterBreak="0">
    <w:nsid w:val="51137A95"/>
    <w:multiLevelType w:val="hybridMultilevel"/>
    <w:tmpl w:val="CD6A1B40"/>
    <w:lvl w:ilvl="0" w:tplc="A64EAB9A">
      <w:start w:val="1"/>
      <w:numFmt w:val="lowerLetter"/>
      <w:lvlText w:val="%1)"/>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C92DA">
      <w:start w:val="1"/>
      <w:numFmt w:val="lowerLetter"/>
      <w:lvlText w:val="%2"/>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068AE0">
      <w:start w:val="1"/>
      <w:numFmt w:val="lowerRoman"/>
      <w:lvlText w:val="%3"/>
      <w:lvlJc w:val="left"/>
      <w:pPr>
        <w:ind w:left="2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6A302">
      <w:start w:val="1"/>
      <w:numFmt w:val="decimal"/>
      <w:lvlText w:val="%4"/>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E5BDA">
      <w:start w:val="1"/>
      <w:numFmt w:val="lowerLetter"/>
      <w:lvlText w:val="%5"/>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2D7FA">
      <w:start w:val="1"/>
      <w:numFmt w:val="lowerRoman"/>
      <w:lvlText w:val="%6"/>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4B5B6">
      <w:start w:val="1"/>
      <w:numFmt w:val="decimal"/>
      <w:lvlText w:val="%7"/>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8C9BA">
      <w:start w:val="1"/>
      <w:numFmt w:val="lowerLetter"/>
      <w:lvlText w:val="%8"/>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7C2576">
      <w:start w:val="1"/>
      <w:numFmt w:val="lowerRoman"/>
      <w:lvlText w:val="%9"/>
      <w:lvlJc w:val="left"/>
      <w:pPr>
        <w:ind w:left="6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FD08A6"/>
    <w:multiLevelType w:val="hybridMultilevel"/>
    <w:tmpl w:val="DBD283BA"/>
    <w:lvl w:ilvl="0" w:tplc="17660FFE">
      <w:start w:val="1"/>
      <w:numFmt w:val="decimal"/>
      <w:lvlText w:val="%1."/>
      <w:lvlJc w:val="left"/>
      <w:pPr>
        <w:ind w:left="476" w:hanging="269"/>
      </w:pPr>
      <w:rPr>
        <w:rFonts w:ascii="Arial" w:eastAsia="Arial" w:hAnsi="Arial" w:cs="Arial" w:hint="default"/>
        <w:b w:val="0"/>
        <w:bCs w:val="0"/>
        <w:i w:val="0"/>
        <w:iCs w:val="0"/>
        <w:color w:val="4A5E6E"/>
        <w:spacing w:val="0"/>
        <w:w w:val="99"/>
        <w:sz w:val="24"/>
        <w:szCs w:val="24"/>
        <w:lang w:val="sv-SE" w:eastAsia="en-US" w:bidi="ar-SA"/>
      </w:rPr>
    </w:lvl>
    <w:lvl w:ilvl="1" w:tplc="BF7EB5AC">
      <w:numFmt w:val="bullet"/>
      <w:lvlText w:val="•"/>
      <w:lvlJc w:val="left"/>
      <w:pPr>
        <w:ind w:left="1398" w:hanging="269"/>
      </w:pPr>
      <w:rPr>
        <w:rFonts w:hint="default"/>
        <w:lang w:val="sv-SE" w:eastAsia="en-US" w:bidi="ar-SA"/>
      </w:rPr>
    </w:lvl>
    <w:lvl w:ilvl="2" w:tplc="10E21F86">
      <w:numFmt w:val="bullet"/>
      <w:lvlText w:val="•"/>
      <w:lvlJc w:val="left"/>
      <w:pPr>
        <w:ind w:left="2316" w:hanging="269"/>
      </w:pPr>
      <w:rPr>
        <w:rFonts w:hint="default"/>
        <w:lang w:val="sv-SE" w:eastAsia="en-US" w:bidi="ar-SA"/>
      </w:rPr>
    </w:lvl>
    <w:lvl w:ilvl="3" w:tplc="C4BABE3A">
      <w:numFmt w:val="bullet"/>
      <w:lvlText w:val="•"/>
      <w:lvlJc w:val="left"/>
      <w:pPr>
        <w:ind w:left="3235" w:hanging="269"/>
      </w:pPr>
      <w:rPr>
        <w:rFonts w:hint="default"/>
        <w:lang w:val="sv-SE" w:eastAsia="en-US" w:bidi="ar-SA"/>
      </w:rPr>
    </w:lvl>
    <w:lvl w:ilvl="4" w:tplc="2BC20A8C">
      <w:numFmt w:val="bullet"/>
      <w:lvlText w:val="•"/>
      <w:lvlJc w:val="left"/>
      <w:pPr>
        <w:ind w:left="4153" w:hanging="269"/>
      </w:pPr>
      <w:rPr>
        <w:rFonts w:hint="default"/>
        <w:lang w:val="sv-SE" w:eastAsia="en-US" w:bidi="ar-SA"/>
      </w:rPr>
    </w:lvl>
    <w:lvl w:ilvl="5" w:tplc="EFEE2906">
      <w:numFmt w:val="bullet"/>
      <w:lvlText w:val="•"/>
      <w:lvlJc w:val="left"/>
      <w:pPr>
        <w:ind w:left="5072" w:hanging="269"/>
      </w:pPr>
      <w:rPr>
        <w:rFonts w:hint="default"/>
        <w:lang w:val="sv-SE" w:eastAsia="en-US" w:bidi="ar-SA"/>
      </w:rPr>
    </w:lvl>
    <w:lvl w:ilvl="6" w:tplc="12EA0AC4">
      <w:numFmt w:val="bullet"/>
      <w:lvlText w:val="•"/>
      <w:lvlJc w:val="left"/>
      <w:pPr>
        <w:ind w:left="5990" w:hanging="269"/>
      </w:pPr>
      <w:rPr>
        <w:rFonts w:hint="default"/>
        <w:lang w:val="sv-SE" w:eastAsia="en-US" w:bidi="ar-SA"/>
      </w:rPr>
    </w:lvl>
    <w:lvl w:ilvl="7" w:tplc="7068D0DE">
      <w:numFmt w:val="bullet"/>
      <w:lvlText w:val="•"/>
      <w:lvlJc w:val="left"/>
      <w:pPr>
        <w:ind w:left="6908" w:hanging="269"/>
      </w:pPr>
      <w:rPr>
        <w:rFonts w:hint="default"/>
        <w:lang w:val="sv-SE" w:eastAsia="en-US" w:bidi="ar-SA"/>
      </w:rPr>
    </w:lvl>
    <w:lvl w:ilvl="8" w:tplc="63120F82">
      <w:numFmt w:val="bullet"/>
      <w:lvlText w:val="•"/>
      <w:lvlJc w:val="left"/>
      <w:pPr>
        <w:ind w:left="7827" w:hanging="269"/>
      </w:pPr>
      <w:rPr>
        <w:rFonts w:hint="default"/>
        <w:lang w:val="sv-SE" w:eastAsia="en-US" w:bidi="ar-SA"/>
      </w:rPr>
    </w:lvl>
  </w:abstractNum>
  <w:num w:numId="1" w16cid:durableId="1296065027">
    <w:abstractNumId w:val="3"/>
  </w:num>
  <w:num w:numId="2" w16cid:durableId="1033775589">
    <w:abstractNumId w:val="1"/>
  </w:num>
  <w:num w:numId="3" w16cid:durableId="1739087272">
    <w:abstractNumId w:val="4"/>
  </w:num>
  <w:num w:numId="4" w16cid:durableId="1631596209">
    <w:abstractNumId w:val="0"/>
  </w:num>
  <w:num w:numId="5" w16cid:durableId="14694749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in Manouchehr">
    <w15:presenceInfo w15:providerId="AD" w15:userId="S::armin.manouchehr@isec.com::b328e5b3-2abb-4f6d-9720-4c922c2d2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B3"/>
    <w:rsid w:val="000D32CF"/>
    <w:rsid w:val="00143F9B"/>
    <w:rsid w:val="00351EE3"/>
    <w:rsid w:val="003E7EE8"/>
    <w:rsid w:val="00433BFE"/>
    <w:rsid w:val="004418A2"/>
    <w:rsid w:val="004C13F8"/>
    <w:rsid w:val="00531BFF"/>
    <w:rsid w:val="006D6A66"/>
    <w:rsid w:val="00733A59"/>
    <w:rsid w:val="0085179E"/>
    <w:rsid w:val="009251D5"/>
    <w:rsid w:val="00A45826"/>
    <w:rsid w:val="00AB17C5"/>
    <w:rsid w:val="00AC54D6"/>
    <w:rsid w:val="00AD17CB"/>
    <w:rsid w:val="00AF5A96"/>
    <w:rsid w:val="00C62878"/>
    <w:rsid w:val="00D70C8B"/>
    <w:rsid w:val="00E51D9F"/>
    <w:rsid w:val="00E56CB3"/>
    <w:rsid w:val="00E72E2D"/>
    <w:rsid w:val="00EE129B"/>
    <w:rsid w:val="00F03C40"/>
    <w:rsid w:val="00F50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B8D9"/>
  <w15:docId w15:val="{B3F828AA-577D-4CA8-B793-72B9D14E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6" w:line="271" w:lineRule="auto"/>
      <w:ind w:left="125" w:right="121" w:hanging="10"/>
      <w:jc w:val="both"/>
    </w:pPr>
    <w:rPr>
      <w:rFonts w:ascii="Times New Roman" w:eastAsia="Times New Roman" w:hAnsi="Times New Roman" w:cs="Times New Roman"/>
      <w:color w:val="000000"/>
      <w:sz w:val="22"/>
    </w:rPr>
  </w:style>
  <w:style w:type="paragraph" w:styleId="Rubrik1">
    <w:name w:val="heading 1"/>
    <w:next w:val="Normal"/>
    <w:link w:val="Rubrik1Char"/>
    <w:uiPriority w:val="9"/>
    <w:qFormat/>
    <w:pPr>
      <w:keepNext/>
      <w:keepLines/>
      <w:numPr>
        <w:numId w:val="2"/>
      </w:numPr>
      <w:spacing w:after="100" w:line="251" w:lineRule="auto"/>
      <w:ind w:left="125" w:hanging="10"/>
      <w:outlineLvl w:val="0"/>
    </w:pPr>
    <w:rPr>
      <w:rFonts w:ascii="Times New Roman" w:eastAsia="Times New Roman" w:hAnsi="Times New Roman" w:cs="Times New Roman"/>
      <w:b/>
      <w:color w:val="44536A"/>
    </w:rPr>
  </w:style>
  <w:style w:type="paragraph" w:styleId="Rubrik2">
    <w:name w:val="heading 2"/>
    <w:next w:val="Normal"/>
    <w:link w:val="Rubrik2Char"/>
    <w:uiPriority w:val="9"/>
    <w:unhideWhenUsed/>
    <w:qFormat/>
    <w:pPr>
      <w:keepNext/>
      <w:keepLines/>
      <w:numPr>
        <w:ilvl w:val="1"/>
        <w:numId w:val="2"/>
      </w:numPr>
      <w:spacing w:after="69" w:line="248" w:lineRule="auto"/>
      <w:ind w:left="125" w:hanging="10"/>
      <w:outlineLvl w:val="1"/>
    </w:pPr>
    <w:rPr>
      <w:rFonts w:ascii="Times New Roman" w:eastAsia="Times New Roman" w:hAnsi="Times New Roman" w:cs="Times New Roman"/>
      <w:b/>
      <w:color w:val="44536A"/>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Times New Roman" w:eastAsia="Times New Roman" w:hAnsi="Times New Roman" w:cs="Times New Roman"/>
      <w:b/>
      <w:color w:val="44536A"/>
      <w:sz w:val="22"/>
    </w:rPr>
  </w:style>
  <w:style w:type="character" w:customStyle="1" w:styleId="Rubrik1Char">
    <w:name w:val="Rubrik 1 Char"/>
    <w:link w:val="Rubrik1"/>
    <w:rPr>
      <w:rFonts w:ascii="Times New Roman" w:eastAsia="Times New Roman" w:hAnsi="Times New Roman" w:cs="Times New Roman"/>
      <w:b/>
      <w:color w:val="44536A"/>
      <w:sz w:val="24"/>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Brdtext">
    <w:name w:val="Body Text"/>
    <w:basedOn w:val="Normal"/>
    <w:link w:val="BrdtextChar"/>
    <w:uiPriority w:val="1"/>
    <w:qFormat/>
    <w:rsid w:val="00E51D9F"/>
    <w:pPr>
      <w:widowControl w:val="0"/>
      <w:autoSpaceDE w:val="0"/>
      <w:autoSpaceDN w:val="0"/>
      <w:spacing w:after="0" w:line="240" w:lineRule="auto"/>
      <w:ind w:left="476" w:right="0" w:firstLine="0"/>
      <w:jc w:val="left"/>
    </w:pPr>
    <w:rPr>
      <w:rFonts w:ascii="Arial" w:eastAsia="Arial" w:hAnsi="Arial" w:cs="Arial"/>
      <w:color w:val="auto"/>
      <w:kern w:val="0"/>
      <w:sz w:val="24"/>
      <w:lang w:eastAsia="en-US"/>
      <w14:ligatures w14:val="none"/>
    </w:rPr>
  </w:style>
  <w:style w:type="character" w:customStyle="1" w:styleId="BrdtextChar">
    <w:name w:val="Brödtext Char"/>
    <w:basedOn w:val="Standardstycketeckensnitt"/>
    <w:link w:val="Brdtext"/>
    <w:uiPriority w:val="1"/>
    <w:rsid w:val="00E51D9F"/>
    <w:rPr>
      <w:rFonts w:ascii="Arial" w:eastAsia="Arial" w:hAnsi="Arial" w:cs="Arial"/>
      <w:kern w:val="0"/>
      <w:lang w:eastAsia="en-US"/>
      <w14:ligatures w14:val="none"/>
    </w:rPr>
  </w:style>
  <w:style w:type="paragraph" w:styleId="Rubrik">
    <w:name w:val="Title"/>
    <w:basedOn w:val="Normal"/>
    <w:link w:val="RubrikChar"/>
    <w:uiPriority w:val="10"/>
    <w:qFormat/>
    <w:rsid w:val="00E51D9F"/>
    <w:pPr>
      <w:widowControl w:val="0"/>
      <w:autoSpaceDE w:val="0"/>
      <w:autoSpaceDN w:val="0"/>
      <w:spacing w:before="92" w:after="0" w:line="240" w:lineRule="auto"/>
      <w:ind w:left="1101" w:right="0" w:firstLine="0"/>
      <w:jc w:val="left"/>
    </w:pPr>
    <w:rPr>
      <w:rFonts w:ascii="Calibri" w:eastAsia="Calibri" w:hAnsi="Calibri" w:cs="Calibri"/>
      <w:b/>
      <w:bCs/>
      <w:color w:val="auto"/>
      <w:kern w:val="0"/>
      <w:sz w:val="56"/>
      <w:szCs w:val="56"/>
      <w:u w:val="single" w:color="000000"/>
      <w:lang w:eastAsia="en-US"/>
      <w14:ligatures w14:val="none"/>
    </w:rPr>
  </w:style>
  <w:style w:type="character" w:customStyle="1" w:styleId="RubrikChar">
    <w:name w:val="Rubrik Char"/>
    <w:basedOn w:val="Standardstycketeckensnitt"/>
    <w:link w:val="Rubrik"/>
    <w:uiPriority w:val="10"/>
    <w:rsid w:val="00E51D9F"/>
    <w:rPr>
      <w:rFonts w:ascii="Calibri" w:eastAsia="Calibri" w:hAnsi="Calibri" w:cs="Calibri"/>
      <w:b/>
      <w:bCs/>
      <w:kern w:val="0"/>
      <w:sz w:val="56"/>
      <w:szCs w:val="56"/>
      <w:u w:val="single" w:color="000000"/>
      <w:lang w:eastAsia="en-US"/>
      <w14:ligatures w14:val="none"/>
    </w:rPr>
  </w:style>
  <w:style w:type="paragraph" w:styleId="Sidhuvud">
    <w:name w:val="header"/>
    <w:basedOn w:val="Normal"/>
    <w:link w:val="SidhuvudChar"/>
    <w:uiPriority w:val="99"/>
    <w:unhideWhenUsed/>
    <w:rsid w:val="00E51D9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E51D9F"/>
    <w:rPr>
      <w:rFonts w:ascii="Times New Roman" w:eastAsia="Times New Roman" w:hAnsi="Times New Roman" w:cs="Times New Roman"/>
      <w:color w:val="000000"/>
      <w:sz w:val="22"/>
    </w:rPr>
  </w:style>
  <w:style w:type="paragraph" w:styleId="Sidfot">
    <w:name w:val="footer"/>
    <w:basedOn w:val="Normal"/>
    <w:link w:val="SidfotChar"/>
    <w:uiPriority w:val="99"/>
    <w:unhideWhenUsed/>
    <w:rsid w:val="00E51D9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E51D9F"/>
    <w:rPr>
      <w:rFonts w:ascii="Times New Roman" w:eastAsia="Times New Roman" w:hAnsi="Times New Roman" w:cs="Times New Roman"/>
      <w:color w:val="000000"/>
      <w:sz w:val="22"/>
    </w:rPr>
  </w:style>
  <w:style w:type="paragraph" w:styleId="Fotnotstext">
    <w:name w:val="footnote text"/>
    <w:basedOn w:val="Normal"/>
    <w:link w:val="FotnotstextChar"/>
    <w:uiPriority w:val="99"/>
    <w:semiHidden/>
    <w:unhideWhenUsed/>
    <w:rsid w:val="00EE129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E129B"/>
    <w:rPr>
      <w:rFonts w:ascii="Times New Roman" w:eastAsia="Times New Roman" w:hAnsi="Times New Roman" w:cs="Times New Roman"/>
      <w:color w:val="000000"/>
      <w:sz w:val="20"/>
      <w:szCs w:val="20"/>
    </w:rPr>
  </w:style>
  <w:style w:type="character" w:styleId="Fotnotsreferens">
    <w:name w:val="footnote reference"/>
    <w:basedOn w:val="Standardstycketeckensnitt"/>
    <w:uiPriority w:val="99"/>
    <w:semiHidden/>
    <w:unhideWhenUsed/>
    <w:rsid w:val="00EE129B"/>
    <w:rPr>
      <w:vertAlign w:val="superscript"/>
    </w:rPr>
  </w:style>
  <w:style w:type="character" w:styleId="Kommentarsreferens">
    <w:name w:val="annotation reference"/>
    <w:basedOn w:val="Standardstycketeckensnitt"/>
    <w:uiPriority w:val="99"/>
    <w:semiHidden/>
    <w:unhideWhenUsed/>
    <w:rsid w:val="00E72E2D"/>
    <w:rPr>
      <w:sz w:val="16"/>
      <w:szCs w:val="16"/>
    </w:rPr>
  </w:style>
  <w:style w:type="paragraph" w:styleId="Kommentarer">
    <w:name w:val="annotation text"/>
    <w:basedOn w:val="Normal"/>
    <w:link w:val="KommentarerChar"/>
    <w:uiPriority w:val="99"/>
    <w:unhideWhenUsed/>
    <w:rsid w:val="00E72E2D"/>
    <w:pPr>
      <w:spacing w:line="240" w:lineRule="auto"/>
    </w:pPr>
    <w:rPr>
      <w:sz w:val="20"/>
      <w:szCs w:val="20"/>
    </w:rPr>
  </w:style>
  <w:style w:type="character" w:customStyle="1" w:styleId="KommentarerChar">
    <w:name w:val="Kommentarer Char"/>
    <w:basedOn w:val="Standardstycketeckensnitt"/>
    <w:link w:val="Kommentarer"/>
    <w:uiPriority w:val="99"/>
    <w:rsid w:val="00E72E2D"/>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E72E2D"/>
    <w:rPr>
      <w:b/>
      <w:bCs/>
    </w:rPr>
  </w:style>
  <w:style w:type="character" w:customStyle="1" w:styleId="KommentarsmneChar">
    <w:name w:val="Kommentarsämne Char"/>
    <w:basedOn w:val="KommentarerChar"/>
    <w:link w:val="Kommentarsmne"/>
    <w:uiPriority w:val="99"/>
    <w:semiHidden/>
    <w:rsid w:val="00E72E2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sec.com/wp-content/uploads/2020/05/Hallbarhetspolicy-1.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2857</Words>
  <Characters>15147</Characters>
  <Application>Microsoft Office Word</Application>
  <DocSecurity>0</DocSecurity>
  <Lines>126</Lines>
  <Paragraphs>35</Paragraphs>
  <ScaleCrop>false</ScaleCrop>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Desirée Lindström</dc:creator>
  <cp:keywords/>
  <cp:lastModifiedBy>Armin Manouchehr</cp:lastModifiedBy>
  <cp:revision>28</cp:revision>
  <dcterms:created xsi:type="dcterms:W3CDTF">2025-03-07T14:51:00Z</dcterms:created>
  <dcterms:modified xsi:type="dcterms:W3CDTF">2026-01-27T14:23:00Z</dcterms:modified>
</cp:coreProperties>
</file>